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2201485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אביגדור ליברמן</w:t>
      </w:r>
      <w:r>
        <w:br/>
      </w:r>
      <w:r>
        <w:rPr>
          <w:rFonts w:hint="cs"/>
          <w:b/>
          <w:bCs/>
          <w:rtl/>
        </w:rPr>
        <w:t xml:space="preserve"> </w:t>
      </w:r>
      <w:r>
        <w:tab/>
      </w:r>
      <w:r>
        <w:tab/>
      </w:r>
      <w:r>
        <w:tab/>
      </w:r>
      <w:r>
        <w:tab/>
      </w:r>
      <w:r>
        <w:rPr>
          <w:rFonts w:hint="cs"/>
          <w:b/>
          <w:bCs/>
          <w:rtl/>
        </w:rPr>
        <w:t>עודד פורר</w:t>
      </w:r>
      <w:r>
        <w:br/>
      </w:r>
      <w:r>
        <w:rPr>
          <w:rFonts w:hint="cs"/>
          <w:b/>
          <w:bCs/>
          <w:rtl/>
        </w:rPr>
        <w:t xml:space="preserve"> </w:t>
      </w:r>
      <w:r>
        <w:tab/>
      </w:r>
      <w:r>
        <w:tab/>
      </w:r>
      <w:r>
        <w:tab/>
      </w:r>
      <w:r>
        <w:tab/>
      </w:r>
      <w:r>
        <w:rPr>
          <w:rFonts w:hint="cs"/>
          <w:b/>
          <w:bCs/>
          <w:rtl/>
        </w:rPr>
        <w:t>יבגני סובה</w:t>
      </w:r>
      <w:r>
        <w:br/>
      </w:r>
      <w:r>
        <w:rPr>
          <w:rFonts w:hint="cs"/>
          <w:b/>
          <w:bCs/>
          <w:rtl/>
        </w:rPr>
        <w:t xml:space="preserve"> </w:t>
      </w:r>
      <w:r>
        <w:tab/>
      </w:r>
      <w:r>
        <w:tab/>
      </w:r>
      <w:r>
        <w:tab/>
      </w:r>
      <w:r>
        <w:tab/>
      </w:r>
      <w:r>
        <w:rPr>
          <w:rFonts w:hint="cs"/>
          <w:b/>
          <w:bCs/>
          <w:rtl/>
        </w:rPr>
        <w:t>שרון ניר</w:t>
      </w:r>
      <w:r>
        <w:br/>
      </w:r>
      <w:r>
        <w:rPr>
          <w:rFonts w:hint="cs"/>
          <w:b/>
          <w:bCs/>
          <w:rtl/>
        </w:rPr>
        <w:t xml:space="preserve"> </w:t>
      </w:r>
      <w:r>
        <w:tab/>
      </w:r>
      <w:r>
        <w:tab/>
      </w:r>
      <w:r>
        <w:tab/>
      </w:r>
      <w:r>
        <w:tab/>
      </w:r>
      <w:r>
        <w:rPr>
          <w:rFonts w:hint="cs"/>
          <w:b/>
          <w:bCs/>
          <w:rtl/>
        </w:rPr>
        <w:t>יוליה מלינובסקי</w:t>
      </w:r>
      <w:r>
        <w:br/>
      </w:r>
      <w:r>
        <w:rPr>
          <w:rFonts w:hint="cs"/>
          <w:b/>
          <w:bCs/>
          <w:rtl/>
        </w:rPr>
        <w:t xml:space="preserve"> </w:t>
      </w:r>
      <w:r>
        <w:tab/>
      </w:r>
      <w:r>
        <w:tab/>
      </w:r>
      <w:r>
        <w:tab/>
      </w:r>
      <w:r>
        <w:tab/>
      </w:r>
      <w:r>
        <w:rPr>
          <w:rFonts w:hint="cs"/>
          <w:b/>
          <w:bCs/>
          <w:rtl/>
        </w:rPr>
        <w:t>חמד עמאר</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פ/2877/25</w:t>
      </w:r>
      <w:bookmarkEnd w:id="6"/>
    </w:p>
    <w:p w14:paraId="7F6961AC" w14:textId="77777777" w:rsidR="00E13C27" w:rsidRDefault="00E13C27" w:rsidP="00E13C27">
      <w:pPr>
        <w:spacing w:before="0" w:line="360" w:lineRule="auto"/>
        <w:ind w:left="2880" w:firstLine="720"/>
        <w:rPr>
          <w:rFonts w:cs="David"/>
          <w:sz w:val="26"/>
          <w:szCs w:val="26"/>
          <w:rtl/>
        </w:rPr>
      </w:pPr>
    </w:p>
    <w:p w14:paraId="279A5582" w14:textId="6589893A" w:rsidR="00C51973" w:rsidRDefault="00A443CF" w:rsidP="007743EA">
      <w:pPr>
        <w:pStyle w:val="HeadHatzaotHok"/>
        <w:rPr>
          <w:rtl/>
        </w:rPr>
      </w:pPr>
      <w:bookmarkStart w:id="7" w:name="LGS_Subject"/>
      <w:r>
        <w:rPr>
          <w:rFonts w:hint="cs"/>
          <w:rtl/>
        </w:rPr>
        <w:t>הצעת חוק-יסוד: בית משפט לחוקה</w:t>
      </w:r>
      <w:bookmarkEnd w:id="7"/>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519"/>
      </w:tblGrid>
      <w:tr w:rsidR="00952F24" w14:paraId="644EB2A1" w14:textId="77777777" w:rsidTr="00952F24">
        <w:trPr>
          <w:cantSplit/>
        </w:trPr>
        <w:tc>
          <w:tcPr>
            <w:tcW w:w="1870" w:type="dxa"/>
          </w:tcPr>
          <w:p w14:paraId="33C5AC7F" w14:textId="77777777" w:rsidR="00952F24" w:rsidRDefault="00952F24" w:rsidP="009846F0">
            <w:pPr>
              <w:pStyle w:val="TableSideHeading"/>
            </w:pPr>
            <w:r>
              <w:rPr>
                <w:rFonts w:hint="cs"/>
                <w:rtl/>
              </w:rPr>
              <w:t xml:space="preserve">הקמת בית משפט לחוקה </w:t>
            </w:r>
          </w:p>
        </w:tc>
        <w:tc>
          <w:tcPr>
            <w:tcW w:w="624" w:type="dxa"/>
          </w:tcPr>
          <w:p w14:paraId="41775F06" w14:textId="77777777" w:rsidR="00952F24" w:rsidRDefault="00952F24" w:rsidP="009846F0">
            <w:pPr>
              <w:pStyle w:val="TableText"/>
            </w:pPr>
            <w:r>
              <w:rPr>
                <w:rFonts w:hint="cs"/>
                <w:rtl/>
              </w:rPr>
              <w:t xml:space="preserve">1. </w:t>
            </w:r>
          </w:p>
        </w:tc>
        <w:tc>
          <w:tcPr>
            <w:tcW w:w="7143" w:type="dxa"/>
            <w:gridSpan w:val="2"/>
          </w:tcPr>
          <w:p w14:paraId="1B854FAF" w14:textId="4AA30C7D" w:rsidR="00952F24" w:rsidRDefault="00952F24" w:rsidP="00952F24">
            <w:pPr>
              <w:pStyle w:val="TableBlock"/>
            </w:pPr>
            <w:r>
              <w:rPr>
                <w:rFonts w:hint="cs"/>
                <w:rtl/>
              </w:rPr>
              <w:t xml:space="preserve">מטרתו של חוק יסוד זה להקים בית המשפט לחוקה ולעניינים חוקתיים, אשר יפסוק בכל נושא בו מתעוררת שאלה חוקתית הטעונה הכרעה, וזאת לאור עקרונות היסוד בדבר ערכיה של מדינת ישראל כמדינה יהודית ודמוקרטית. </w:t>
            </w:r>
          </w:p>
        </w:tc>
      </w:tr>
      <w:tr w:rsidR="00952F24" w14:paraId="52DAD7D2" w14:textId="77777777" w:rsidTr="00952F24">
        <w:trPr>
          <w:cantSplit/>
        </w:trPr>
        <w:tc>
          <w:tcPr>
            <w:tcW w:w="1870" w:type="dxa"/>
          </w:tcPr>
          <w:p w14:paraId="3A27C453" w14:textId="77777777" w:rsidR="00952F24" w:rsidRDefault="00952F24" w:rsidP="009846F0">
            <w:pPr>
              <w:pStyle w:val="TableSideHeading"/>
            </w:pPr>
            <w:r>
              <w:rPr>
                <w:rFonts w:hint="cs"/>
                <w:rtl/>
              </w:rPr>
              <w:t xml:space="preserve">בית המשפט לחוקה </w:t>
            </w:r>
          </w:p>
        </w:tc>
        <w:tc>
          <w:tcPr>
            <w:tcW w:w="624" w:type="dxa"/>
          </w:tcPr>
          <w:p w14:paraId="22A364F8" w14:textId="77777777" w:rsidR="00952F24" w:rsidRDefault="00952F24" w:rsidP="009846F0">
            <w:pPr>
              <w:pStyle w:val="TableText"/>
            </w:pPr>
            <w:r>
              <w:rPr>
                <w:rFonts w:hint="cs"/>
                <w:rtl/>
              </w:rPr>
              <w:t>2.</w:t>
            </w:r>
          </w:p>
        </w:tc>
        <w:tc>
          <w:tcPr>
            <w:tcW w:w="7143" w:type="dxa"/>
            <w:gridSpan w:val="2"/>
          </w:tcPr>
          <w:p w14:paraId="71653623" w14:textId="518D9F68" w:rsidR="00952F24" w:rsidRDefault="00952F24" w:rsidP="00952F24">
            <w:pPr>
              <w:pStyle w:val="TableBlock"/>
            </w:pPr>
            <w:r>
              <w:rPr>
                <w:rFonts w:hint="cs"/>
                <w:rtl/>
              </w:rPr>
              <w:t xml:space="preserve">(א) </w:t>
            </w:r>
            <w:r>
              <w:rPr>
                <w:rFonts w:hint="cs"/>
                <w:rtl/>
              </w:rPr>
              <w:tab/>
              <w:t xml:space="preserve">מוקם בזאת בית המשפט לחוקה ולעניינים חוקתיים, (להלן בית המשפט לחוקה), שמקום מושבו הוא ירושלים. </w:t>
            </w:r>
          </w:p>
        </w:tc>
      </w:tr>
      <w:tr w:rsidR="00952F24" w14:paraId="2F5852AA" w14:textId="77777777" w:rsidTr="00952F24">
        <w:trPr>
          <w:cantSplit/>
        </w:trPr>
        <w:tc>
          <w:tcPr>
            <w:tcW w:w="1870" w:type="dxa"/>
            <w:shd w:val="clear" w:color="auto" w:fill="auto"/>
          </w:tcPr>
          <w:p w14:paraId="30967DEA" w14:textId="77777777" w:rsidR="00952F24" w:rsidRDefault="00952F24" w:rsidP="009846F0">
            <w:pPr>
              <w:pStyle w:val="TableSideHeading"/>
            </w:pPr>
          </w:p>
        </w:tc>
        <w:tc>
          <w:tcPr>
            <w:tcW w:w="624" w:type="dxa"/>
            <w:shd w:val="clear" w:color="auto" w:fill="auto"/>
          </w:tcPr>
          <w:p w14:paraId="18693FB2" w14:textId="77777777" w:rsidR="00952F24" w:rsidRDefault="00952F24" w:rsidP="009846F0">
            <w:pPr>
              <w:pStyle w:val="TableText"/>
            </w:pPr>
          </w:p>
        </w:tc>
        <w:tc>
          <w:tcPr>
            <w:tcW w:w="7143" w:type="dxa"/>
            <w:gridSpan w:val="2"/>
          </w:tcPr>
          <w:p w14:paraId="18BD404C" w14:textId="77777777" w:rsidR="00952F24" w:rsidRDefault="00952F24" w:rsidP="009846F0">
            <w:pPr>
              <w:pStyle w:val="TableBlock"/>
            </w:pPr>
            <w:r>
              <w:rPr>
                <w:rFonts w:hint="cs"/>
                <w:rtl/>
              </w:rPr>
              <w:t>(ב)</w:t>
            </w:r>
            <w:r>
              <w:rPr>
                <w:rtl/>
              </w:rPr>
              <w:tab/>
            </w:r>
            <w:r>
              <w:rPr>
                <w:rFonts w:hint="cs"/>
                <w:rtl/>
              </w:rPr>
              <w:t xml:space="preserve">בית המשפט לחוקה, והוא בלבד, ידון בכל נושא בו מתעוררת שאלה חוקתית הטעונה הכרעה, לאור עקרונות היסוד בדבר ערכיה של מדינת ישראל כמדינה יהודית ודמוקרטית. </w:t>
            </w:r>
          </w:p>
        </w:tc>
      </w:tr>
      <w:tr w:rsidR="00952F24" w14:paraId="492B9EE3" w14:textId="77777777" w:rsidTr="00952F24">
        <w:trPr>
          <w:cantSplit/>
        </w:trPr>
        <w:tc>
          <w:tcPr>
            <w:tcW w:w="1870" w:type="dxa"/>
            <w:shd w:val="clear" w:color="auto" w:fill="auto"/>
          </w:tcPr>
          <w:p w14:paraId="6A68204B" w14:textId="77777777" w:rsidR="00952F24" w:rsidRDefault="00952F24" w:rsidP="009846F0">
            <w:pPr>
              <w:pStyle w:val="TableSideHeading"/>
            </w:pPr>
          </w:p>
        </w:tc>
        <w:tc>
          <w:tcPr>
            <w:tcW w:w="624" w:type="dxa"/>
            <w:shd w:val="clear" w:color="auto" w:fill="auto"/>
          </w:tcPr>
          <w:p w14:paraId="37ABC399" w14:textId="77777777" w:rsidR="00952F24" w:rsidRDefault="00952F24" w:rsidP="009846F0">
            <w:pPr>
              <w:pStyle w:val="TableText"/>
            </w:pPr>
          </w:p>
        </w:tc>
        <w:tc>
          <w:tcPr>
            <w:tcW w:w="7143" w:type="dxa"/>
            <w:gridSpan w:val="2"/>
          </w:tcPr>
          <w:p w14:paraId="537BA311" w14:textId="77777777" w:rsidR="00952F24" w:rsidRDefault="00952F24" w:rsidP="009846F0">
            <w:pPr>
              <w:pStyle w:val="TableBlock"/>
              <w:rPr>
                <w:rtl/>
              </w:rPr>
            </w:pPr>
            <w:r>
              <w:rPr>
                <w:rFonts w:hint="cs"/>
                <w:rtl/>
              </w:rPr>
              <w:t>(ג)</w:t>
            </w:r>
            <w:r>
              <w:rPr>
                <w:rtl/>
              </w:rPr>
              <w:tab/>
            </w:r>
            <w:r>
              <w:rPr>
                <w:rFonts w:hint="cs"/>
                <w:rtl/>
              </w:rPr>
              <w:t>לא יפסוק בית משפט אחר בענייני</w:t>
            </w:r>
            <w:r>
              <w:rPr>
                <w:rFonts w:hint="eastAsia"/>
                <w:rtl/>
              </w:rPr>
              <w:t>ם</w:t>
            </w:r>
            <w:r>
              <w:rPr>
                <w:rFonts w:hint="cs"/>
                <w:rtl/>
              </w:rPr>
              <w:t xml:space="preserve"> המצויים בסמכותו של בית המשפט לחוקה; ראה בית משפט אחר כי מתעוררת שאלה כאמור יועבר הדיון בעניין לבית משפט לחוקה.</w:t>
            </w:r>
          </w:p>
        </w:tc>
      </w:tr>
      <w:tr w:rsidR="00952F24" w14:paraId="11512344" w14:textId="77777777" w:rsidTr="00952F24">
        <w:trPr>
          <w:cantSplit/>
        </w:trPr>
        <w:tc>
          <w:tcPr>
            <w:tcW w:w="1870" w:type="dxa"/>
          </w:tcPr>
          <w:p w14:paraId="297B50E5" w14:textId="77777777" w:rsidR="00952F24" w:rsidRDefault="00952F24" w:rsidP="009846F0">
            <w:pPr>
              <w:pStyle w:val="TableSideHeading"/>
            </w:pPr>
          </w:p>
        </w:tc>
        <w:tc>
          <w:tcPr>
            <w:tcW w:w="624" w:type="dxa"/>
          </w:tcPr>
          <w:p w14:paraId="7ADB2047" w14:textId="77777777" w:rsidR="00952F24" w:rsidRDefault="00952F24" w:rsidP="009846F0">
            <w:pPr>
              <w:pStyle w:val="TableText"/>
            </w:pPr>
          </w:p>
        </w:tc>
        <w:tc>
          <w:tcPr>
            <w:tcW w:w="7143" w:type="dxa"/>
            <w:gridSpan w:val="2"/>
          </w:tcPr>
          <w:p w14:paraId="437241BF" w14:textId="421AF46B" w:rsidR="00952F24" w:rsidRDefault="00952F24" w:rsidP="00952F24">
            <w:pPr>
              <w:pStyle w:val="TableBlock"/>
            </w:pPr>
            <w:r>
              <w:rPr>
                <w:rFonts w:hint="cs"/>
                <w:rtl/>
              </w:rPr>
              <w:t>(ג)</w:t>
            </w:r>
            <w:r>
              <w:rPr>
                <w:rtl/>
              </w:rPr>
              <w:tab/>
            </w:r>
            <w:r>
              <w:rPr>
                <w:rFonts w:hint="cs"/>
                <w:rtl/>
              </w:rPr>
              <w:t xml:space="preserve">בית המשפט לחוקה ימנה חמישה עשר שופטים. </w:t>
            </w:r>
          </w:p>
        </w:tc>
      </w:tr>
      <w:tr w:rsidR="00952F24" w14:paraId="390E0C33" w14:textId="77777777" w:rsidTr="00952F24">
        <w:trPr>
          <w:cantSplit/>
        </w:trPr>
        <w:tc>
          <w:tcPr>
            <w:tcW w:w="1870" w:type="dxa"/>
          </w:tcPr>
          <w:p w14:paraId="70C2AA3D" w14:textId="77777777" w:rsidR="00952F24" w:rsidRDefault="00952F24" w:rsidP="009846F0">
            <w:pPr>
              <w:pStyle w:val="TableSideHeading"/>
            </w:pPr>
          </w:p>
        </w:tc>
        <w:tc>
          <w:tcPr>
            <w:tcW w:w="624" w:type="dxa"/>
          </w:tcPr>
          <w:p w14:paraId="7709CB63" w14:textId="77777777" w:rsidR="00952F24" w:rsidRDefault="00952F24" w:rsidP="009846F0">
            <w:pPr>
              <w:pStyle w:val="TableText"/>
            </w:pPr>
          </w:p>
        </w:tc>
        <w:tc>
          <w:tcPr>
            <w:tcW w:w="7143" w:type="dxa"/>
            <w:gridSpan w:val="2"/>
          </w:tcPr>
          <w:p w14:paraId="4DCC7E17" w14:textId="2223ED80" w:rsidR="00952F24" w:rsidRDefault="00952F24" w:rsidP="00952F24">
            <w:pPr>
              <w:pStyle w:val="TableBlock"/>
            </w:pPr>
            <w:r>
              <w:rPr>
                <w:rFonts w:hint="cs"/>
                <w:rtl/>
              </w:rPr>
              <w:t>(ד)</w:t>
            </w:r>
            <w:r>
              <w:rPr>
                <w:rtl/>
              </w:rPr>
              <w:tab/>
            </w:r>
            <w:r>
              <w:rPr>
                <w:rFonts w:hint="cs"/>
                <w:rtl/>
              </w:rPr>
              <w:t xml:space="preserve">ההרכב המזערי שבו יידון בית המשפט לחוקה הוא הרכב של אחד עשר שופטים. </w:t>
            </w:r>
          </w:p>
        </w:tc>
      </w:tr>
      <w:tr w:rsidR="00952F24" w14:paraId="5B22D9DE" w14:textId="77777777" w:rsidTr="00952F24">
        <w:trPr>
          <w:cantSplit/>
        </w:trPr>
        <w:tc>
          <w:tcPr>
            <w:tcW w:w="1870" w:type="dxa"/>
          </w:tcPr>
          <w:p w14:paraId="6AF6E42E" w14:textId="77777777" w:rsidR="00952F24" w:rsidRDefault="00952F24" w:rsidP="009846F0">
            <w:pPr>
              <w:pStyle w:val="TableSideHeading"/>
            </w:pPr>
          </w:p>
        </w:tc>
        <w:tc>
          <w:tcPr>
            <w:tcW w:w="624" w:type="dxa"/>
          </w:tcPr>
          <w:p w14:paraId="1C9CA8E2" w14:textId="77777777" w:rsidR="00952F24" w:rsidRDefault="00952F24" w:rsidP="009846F0">
            <w:pPr>
              <w:pStyle w:val="TableText"/>
            </w:pPr>
          </w:p>
        </w:tc>
        <w:tc>
          <w:tcPr>
            <w:tcW w:w="7143" w:type="dxa"/>
            <w:gridSpan w:val="2"/>
          </w:tcPr>
          <w:p w14:paraId="4107966E" w14:textId="77777777" w:rsidR="00952F24" w:rsidRDefault="00952F24" w:rsidP="009846F0">
            <w:pPr>
              <w:pStyle w:val="TableBlock"/>
            </w:pPr>
            <w:r>
              <w:rPr>
                <w:rFonts w:hint="cs"/>
                <w:rtl/>
              </w:rPr>
              <w:t>(ה)</w:t>
            </w:r>
            <w:r>
              <w:rPr>
                <w:rFonts w:hint="cs"/>
                <w:rtl/>
              </w:rPr>
              <w:tab/>
              <w:t xml:space="preserve">לא תתקבל החלטה של בית המשפט לחוקה אלא ברוב של תשעה שופטים. </w:t>
            </w:r>
          </w:p>
        </w:tc>
      </w:tr>
      <w:tr w:rsidR="00952F24" w14:paraId="3BFED8F3" w14:textId="77777777" w:rsidTr="00952F24">
        <w:trPr>
          <w:cantSplit/>
        </w:trPr>
        <w:tc>
          <w:tcPr>
            <w:tcW w:w="1870" w:type="dxa"/>
          </w:tcPr>
          <w:p w14:paraId="630D06AB" w14:textId="77777777" w:rsidR="00952F24" w:rsidRDefault="00952F24" w:rsidP="009846F0">
            <w:pPr>
              <w:pStyle w:val="TableSideHeading"/>
            </w:pPr>
          </w:p>
        </w:tc>
        <w:tc>
          <w:tcPr>
            <w:tcW w:w="624" w:type="dxa"/>
          </w:tcPr>
          <w:p w14:paraId="05C5B2FA" w14:textId="77777777" w:rsidR="00952F24" w:rsidRDefault="00952F24" w:rsidP="009846F0">
            <w:pPr>
              <w:pStyle w:val="TableText"/>
            </w:pPr>
          </w:p>
        </w:tc>
        <w:tc>
          <w:tcPr>
            <w:tcW w:w="7143" w:type="dxa"/>
            <w:gridSpan w:val="2"/>
          </w:tcPr>
          <w:p w14:paraId="0C6FE708" w14:textId="77777777" w:rsidR="00952F24" w:rsidRDefault="00952F24" w:rsidP="009846F0">
            <w:pPr>
              <w:pStyle w:val="TableBlock"/>
            </w:pPr>
            <w:r>
              <w:rPr>
                <w:rFonts w:hint="cs"/>
                <w:rtl/>
              </w:rPr>
              <w:t>(ו)</w:t>
            </w:r>
            <w:r>
              <w:rPr>
                <w:rFonts w:hint="cs"/>
                <w:rtl/>
              </w:rPr>
              <w:tab/>
              <w:t xml:space="preserve">הלכה שנפסקה בבית המשפט לחוקה מחייבת כל בית משפט אחר, זולת בית המשפט לחוקה. </w:t>
            </w:r>
          </w:p>
        </w:tc>
      </w:tr>
      <w:tr w:rsidR="00952F24" w14:paraId="4C50A5F9" w14:textId="77777777" w:rsidTr="00952F24">
        <w:trPr>
          <w:cantSplit/>
        </w:trPr>
        <w:tc>
          <w:tcPr>
            <w:tcW w:w="1870" w:type="dxa"/>
          </w:tcPr>
          <w:p w14:paraId="3AD5C136" w14:textId="77777777" w:rsidR="00952F24" w:rsidRDefault="00952F24" w:rsidP="009846F0">
            <w:pPr>
              <w:pStyle w:val="TableSideHeading"/>
            </w:pPr>
          </w:p>
        </w:tc>
        <w:tc>
          <w:tcPr>
            <w:tcW w:w="624" w:type="dxa"/>
          </w:tcPr>
          <w:p w14:paraId="356213C7" w14:textId="77777777" w:rsidR="00952F24" w:rsidRDefault="00952F24" w:rsidP="009846F0">
            <w:pPr>
              <w:pStyle w:val="TableText"/>
            </w:pPr>
          </w:p>
        </w:tc>
        <w:tc>
          <w:tcPr>
            <w:tcW w:w="7143" w:type="dxa"/>
            <w:gridSpan w:val="2"/>
          </w:tcPr>
          <w:p w14:paraId="0E9D86FF" w14:textId="369D3D22" w:rsidR="00952F24" w:rsidRDefault="00952F24" w:rsidP="00952F24">
            <w:pPr>
              <w:pStyle w:val="TableBlock"/>
            </w:pPr>
            <w:r>
              <w:rPr>
                <w:rFonts w:hint="cs"/>
                <w:rtl/>
              </w:rPr>
              <w:t>(ז)</w:t>
            </w:r>
            <w:r>
              <w:rPr>
                <w:rFonts w:hint="cs"/>
                <w:rtl/>
              </w:rPr>
              <w:tab/>
              <w:t xml:space="preserve">קבע בית המשפט לחוקה שחוק או הוראה סותרים הוראה בחוק-יסוד או בעקרונות היסוד של מדינת ישראל, יישלל תוקפו של אותו חוק או הוראה בתוך שישה חודשים ממועד החלטתו של בית המשפט; תיקנה הכנסה בחקיקה את הסתירה, בית המשפט לחוקה יהיה רשאי להאריך את התקופה האמורה. </w:t>
            </w:r>
          </w:p>
        </w:tc>
      </w:tr>
      <w:tr w:rsidR="00952F24" w14:paraId="6FAFCCA3" w14:textId="77777777" w:rsidTr="00952F24">
        <w:trPr>
          <w:cantSplit/>
        </w:trPr>
        <w:tc>
          <w:tcPr>
            <w:tcW w:w="1870" w:type="dxa"/>
          </w:tcPr>
          <w:p w14:paraId="4CFC2A48" w14:textId="77777777" w:rsidR="00952F24" w:rsidRDefault="00952F24" w:rsidP="009846F0">
            <w:pPr>
              <w:pStyle w:val="TableSideHeading"/>
            </w:pPr>
            <w:r>
              <w:rPr>
                <w:rFonts w:hint="cs"/>
                <w:rtl/>
              </w:rPr>
              <w:t xml:space="preserve">מינוי שופטים </w:t>
            </w:r>
          </w:p>
        </w:tc>
        <w:tc>
          <w:tcPr>
            <w:tcW w:w="624" w:type="dxa"/>
          </w:tcPr>
          <w:p w14:paraId="00EEEA6C" w14:textId="77777777" w:rsidR="00952F24" w:rsidRDefault="00952F24" w:rsidP="009846F0">
            <w:pPr>
              <w:pStyle w:val="TableText"/>
            </w:pPr>
            <w:r>
              <w:rPr>
                <w:rFonts w:hint="cs"/>
                <w:rtl/>
              </w:rPr>
              <w:t xml:space="preserve">3. </w:t>
            </w:r>
          </w:p>
        </w:tc>
        <w:tc>
          <w:tcPr>
            <w:tcW w:w="7143" w:type="dxa"/>
            <w:gridSpan w:val="2"/>
          </w:tcPr>
          <w:p w14:paraId="68A3D1AD" w14:textId="77777777" w:rsidR="00952F24" w:rsidRDefault="00952F24" w:rsidP="009846F0">
            <w:pPr>
              <w:pStyle w:val="TableBlock"/>
            </w:pPr>
            <w:r>
              <w:rPr>
                <w:rFonts w:hint="cs"/>
                <w:rtl/>
              </w:rPr>
              <w:t>(א)</w:t>
            </w:r>
            <w:r>
              <w:rPr>
                <w:rFonts w:hint="cs"/>
                <w:rtl/>
              </w:rPr>
              <w:tab/>
              <w:t>שופטי בית המשפט לחוקה יתמנו בידי נשיא המדינה לפי המלצת הגופים המנויים להלן:</w:t>
            </w:r>
          </w:p>
        </w:tc>
      </w:tr>
      <w:tr w:rsidR="00952F24" w14:paraId="3FC04E3E" w14:textId="77777777" w:rsidTr="009846F0">
        <w:trPr>
          <w:cantSplit/>
        </w:trPr>
        <w:tc>
          <w:tcPr>
            <w:tcW w:w="1870" w:type="dxa"/>
          </w:tcPr>
          <w:p w14:paraId="464A7902" w14:textId="77777777" w:rsidR="00952F24" w:rsidRDefault="00952F24" w:rsidP="009846F0">
            <w:pPr>
              <w:pStyle w:val="TableSideHeading"/>
            </w:pPr>
          </w:p>
        </w:tc>
        <w:tc>
          <w:tcPr>
            <w:tcW w:w="624" w:type="dxa"/>
          </w:tcPr>
          <w:p w14:paraId="32111BDE" w14:textId="77777777" w:rsidR="00952F24" w:rsidRDefault="00952F24" w:rsidP="009846F0">
            <w:pPr>
              <w:pStyle w:val="TableText"/>
            </w:pPr>
          </w:p>
        </w:tc>
        <w:tc>
          <w:tcPr>
            <w:tcW w:w="624" w:type="dxa"/>
          </w:tcPr>
          <w:p w14:paraId="5566DAD4" w14:textId="77777777" w:rsidR="00952F24" w:rsidRDefault="00952F24" w:rsidP="009846F0">
            <w:pPr>
              <w:pStyle w:val="TableText"/>
            </w:pPr>
          </w:p>
        </w:tc>
        <w:tc>
          <w:tcPr>
            <w:tcW w:w="6519" w:type="dxa"/>
          </w:tcPr>
          <w:p w14:paraId="65E5E648" w14:textId="52E3C86E" w:rsidR="00952F24" w:rsidRDefault="00952F24" w:rsidP="00054BEC">
            <w:pPr>
              <w:pStyle w:val="TableBlock"/>
            </w:pPr>
            <w:r>
              <w:rPr>
                <w:rFonts w:hint="cs"/>
                <w:rtl/>
              </w:rPr>
              <w:t>(1)</w:t>
            </w:r>
            <w:r>
              <w:rPr>
                <w:rFonts w:hint="cs"/>
                <w:rtl/>
              </w:rPr>
              <w:tab/>
              <w:t xml:space="preserve">שלושה </w:t>
            </w:r>
            <w:r w:rsidR="00054BEC">
              <w:rPr>
                <w:rFonts w:hint="cs"/>
                <w:rtl/>
              </w:rPr>
              <w:t>שופטים הכשירים</w:t>
            </w:r>
            <w:r>
              <w:rPr>
                <w:rFonts w:hint="cs"/>
                <w:rtl/>
              </w:rPr>
              <w:t xml:space="preserve"> לשמש כ</w:t>
            </w:r>
            <w:r w:rsidR="00054BEC">
              <w:rPr>
                <w:rFonts w:hint="cs"/>
                <w:rtl/>
              </w:rPr>
              <w:t xml:space="preserve">שופטים בבית המשפט העליון </w:t>
            </w:r>
            <w:r>
              <w:rPr>
                <w:rFonts w:hint="cs"/>
                <w:rtl/>
              </w:rPr>
              <w:t xml:space="preserve">אשר </w:t>
            </w:r>
            <w:r w:rsidR="00054BEC">
              <w:rPr>
                <w:rFonts w:hint="cs"/>
                <w:rtl/>
              </w:rPr>
              <w:t>ייבחרו</w:t>
            </w:r>
            <w:r>
              <w:rPr>
                <w:rFonts w:hint="cs"/>
                <w:rtl/>
              </w:rPr>
              <w:t xml:space="preserve"> על ידי הוועדה </w:t>
            </w:r>
            <w:r w:rsidR="00054BEC">
              <w:rPr>
                <w:rFonts w:hint="cs"/>
                <w:rtl/>
              </w:rPr>
              <w:t>לבחירת</w:t>
            </w:r>
            <w:r>
              <w:rPr>
                <w:rFonts w:hint="cs"/>
                <w:rtl/>
              </w:rPr>
              <w:t xml:space="preserve"> שופטים מתוך רשימ</w:t>
            </w:r>
            <w:r w:rsidR="00054BEC">
              <w:rPr>
                <w:rFonts w:hint="cs"/>
                <w:rtl/>
              </w:rPr>
              <w:t>ת מועמדים</w:t>
            </w:r>
            <w:r>
              <w:rPr>
                <w:rFonts w:hint="cs"/>
                <w:rtl/>
              </w:rPr>
              <w:t xml:space="preserve"> </w:t>
            </w:r>
            <w:r w:rsidR="00054BEC">
              <w:rPr>
                <w:rFonts w:hint="cs"/>
                <w:rtl/>
              </w:rPr>
              <w:t>שתוגש על ידי</w:t>
            </w:r>
            <w:r>
              <w:rPr>
                <w:rFonts w:hint="cs"/>
                <w:rtl/>
              </w:rPr>
              <w:t xml:space="preserve"> שר המשפטים;</w:t>
            </w:r>
          </w:p>
        </w:tc>
      </w:tr>
      <w:tr w:rsidR="00952F24" w14:paraId="5FEEE9AD" w14:textId="77777777" w:rsidTr="009846F0">
        <w:trPr>
          <w:cantSplit/>
        </w:trPr>
        <w:tc>
          <w:tcPr>
            <w:tcW w:w="1870" w:type="dxa"/>
          </w:tcPr>
          <w:p w14:paraId="4F86848D" w14:textId="77777777" w:rsidR="00952F24" w:rsidRDefault="00952F24" w:rsidP="009846F0">
            <w:pPr>
              <w:pStyle w:val="TableSideHeading"/>
            </w:pPr>
          </w:p>
        </w:tc>
        <w:tc>
          <w:tcPr>
            <w:tcW w:w="624" w:type="dxa"/>
          </w:tcPr>
          <w:p w14:paraId="769801DE" w14:textId="77777777" w:rsidR="00952F24" w:rsidRDefault="00952F24" w:rsidP="009846F0">
            <w:pPr>
              <w:pStyle w:val="TableText"/>
            </w:pPr>
          </w:p>
        </w:tc>
        <w:tc>
          <w:tcPr>
            <w:tcW w:w="624" w:type="dxa"/>
          </w:tcPr>
          <w:p w14:paraId="408C8A06" w14:textId="77777777" w:rsidR="00952F24" w:rsidRDefault="00952F24" w:rsidP="009846F0">
            <w:pPr>
              <w:pStyle w:val="TableText"/>
            </w:pPr>
          </w:p>
        </w:tc>
        <w:tc>
          <w:tcPr>
            <w:tcW w:w="6519" w:type="dxa"/>
          </w:tcPr>
          <w:p w14:paraId="6A97E311" w14:textId="1FD729F3" w:rsidR="00952F24" w:rsidRDefault="00952F24" w:rsidP="00054BEC">
            <w:pPr>
              <w:pStyle w:val="TableBlock"/>
            </w:pPr>
            <w:r>
              <w:rPr>
                <w:rFonts w:hint="cs"/>
                <w:rtl/>
              </w:rPr>
              <w:t>(2)</w:t>
            </w:r>
            <w:r>
              <w:rPr>
                <w:rFonts w:hint="cs"/>
                <w:rtl/>
              </w:rPr>
              <w:tab/>
              <w:t xml:space="preserve">שלושה דיינים אשר </w:t>
            </w:r>
            <w:r w:rsidR="00054BEC">
              <w:rPr>
                <w:rFonts w:hint="cs"/>
                <w:rtl/>
              </w:rPr>
              <w:t>ייבחרו</w:t>
            </w:r>
            <w:r>
              <w:rPr>
                <w:rFonts w:hint="cs"/>
                <w:rtl/>
              </w:rPr>
              <w:t xml:space="preserve"> על </w:t>
            </w:r>
            <w:r w:rsidR="00054BEC">
              <w:rPr>
                <w:rFonts w:hint="cs"/>
                <w:rtl/>
              </w:rPr>
              <w:t>ידי</w:t>
            </w:r>
            <w:r>
              <w:rPr>
                <w:rFonts w:hint="cs"/>
                <w:rtl/>
              </w:rPr>
              <w:t xml:space="preserve"> הוועדה </w:t>
            </w:r>
            <w:r w:rsidR="00054BEC">
              <w:rPr>
                <w:rFonts w:hint="cs"/>
                <w:rtl/>
              </w:rPr>
              <w:t>לבחירת</w:t>
            </w:r>
            <w:r>
              <w:rPr>
                <w:rFonts w:hint="cs"/>
                <w:rtl/>
              </w:rPr>
              <w:t xml:space="preserve"> דיינים מתוך רשימ</w:t>
            </w:r>
            <w:r w:rsidR="00054BEC">
              <w:rPr>
                <w:rFonts w:hint="cs"/>
                <w:rtl/>
              </w:rPr>
              <w:t>ת מועמדים שתוגש על ידי</w:t>
            </w:r>
            <w:r>
              <w:rPr>
                <w:rFonts w:hint="cs"/>
                <w:rtl/>
              </w:rPr>
              <w:t xml:space="preserve"> נשיא מועצת הרבנות הראשית לישראל;</w:t>
            </w:r>
          </w:p>
        </w:tc>
      </w:tr>
      <w:tr w:rsidR="00952F24" w14:paraId="7C9480AD" w14:textId="77777777" w:rsidTr="009846F0">
        <w:trPr>
          <w:cantSplit/>
        </w:trPr>
        <w:tc>
          <w:tcPr>
            <w:tcW w:w="1870" w:type="dxa"/>
          </w:tcPr>
          <w:p w14:paraId="6B877E44" w14:textId="77777777" w:rsidR="00952F24" w:rsidRDefault="00952F24" w:rsidP="009846F0">
            <w:pPr>
              <w:pStyle w:val="TableSideHeading"/>
            </w:pPr>
          </w:p>
        </w:tc>
        <w:tc>
          <w:tcPr>
            <w:tcW w:w="624" w:type="dxa"/>
          </w:tcPr>
          <w:p w14:paraId="4803F089" w14:textId="77777777" w:rsidR="00952F24" w:rsidRDefault="00952F24" w:rsidP="009846F0">
            <w:pPr>
              <w:pStyle w:val="TableText"/>
            </w:pPr>
          </w:p>
        </w:tc>
        <w:tc>
          <w:tcPr>
            <w:tcW w:w="624" w:type="dxa"/>
          </w:tcPr>
          <w:p w14:paraId="5A2F9F18" w14:textId="77777777" w:rsidR="00952F24" w:rsidRDefault="00952F24" w:rsidP="009846F0">
            <w:pPr>
              <w:pStyle w:val="TableText"/>
            </w:pPr>
          </w:p>
        </w:tc>
        <w:tc>
          <w:tcPr>
            <w:tcW w:w="6519" w:type="dxa"/>
          </w:tcPr>
          <w:p w14:paraId="6FF74810" w14:textId="6EAE5015" w:rsidR="00952F24" w:rsidRDefault="00952F24" w:rsidP="00054BEC">
            <w:pPr>
              <w:pStyle w:val="TableBlock"/>
            </w:pPr>
            <w:r>
              <w:rPr>
                <w:rFonts w:hint="cs"/>
                <w:rtl/>
              </w:rPr>
              <w:t>(3)</w:t>
            </w:r>
            <w:r>
              <w:rPr>
                <w:rFonts w:hint="cs"/>
                <w:rtl/>
              </w:rPr>
              <w:tab/>
              <w:t xml:space="preserve">קאדי אשר </w:t>
            </w:r>
            <w:r w:rsidR="00054BEC">
              <w:rPr>
                <w:rFonts w:hint="cs"/>
                <w:rtl/>
              </w:rPr>
              <w:t>ייבחר</w:t>
            </w:r>
            <w:r>
              <w:rPr>
                <w:rFonts w:hint="cs"/>
                <w:rtl/>
              </w:rPr>
              <w:t xml:space="preserve"> על ידי הוועדה למינוי קאדים מתוך רשימה </w:t>
            </w:r>
            <w:r w:rsidR="00054BEC">
              <w:rPr>
                <w:rFonts w:hint="cs"/>
                <w:rtl/>
              </w:rPr>
              <w:t>שתוגש על ידי</w:t>
            </w:r>
            <w:r>
              <w:rPr>
                <w:rFonts w:hint="cs"/>
                <w:rtl/>
              </w:rPr>
              <w:t xml:space="preserve"> נשיא בתי הדין השרעיים לערעורים;</w:t>
            </w:r>
          </w:p>
        </w:tc>
      </w:tr>
      <w:tr w:rsidR="00952F24" w14:paraId="08B900F0" w14:textId="77777777" w:rsidTr="009846F0">
        <w:trPr>
          <w:cantSplit/>
        </w:trPr>
        <w:tc>
          <w:tcPr>
            <w:tcW w:w="1870" w:type="dxa"/>
          </w:tcPr>
          <w:p w14:paraId="68195838" w14:textId="77777777" w:rsidR="00952F24" w:rsidRDefault="00952F24" w:rsidP="009846F0">
            <w:pPr>
              <w:pStyle w:val="TableSideHeading"/>
            </w:pPr>
          </w:p>
        </w:tc>
        <w:tc>
          <w:tcPr>
            <w:tcW w:w="624" w:type="dxa"/>
          </w:tcPr>
          <w:p w14:paraId="2F5A416C" w14:textId="77777777" w:rsidR="00952F24" w:rsidRDefault="00952F24" w:rsidP="009846F0">
            <w:pPr>
              <w:pStyle w:val="TableText"/>
            </w:pPr>
          </w:p>
        </w:tc>
        <w:tc>
          <w:tcPr>
            <w:tcW w:w="624" w:type="dxa"/>
          </w:tcPr>
          <w:p w14:paraId="348CA759" w14:textId="77777777" w:rsidR="00952F24" w:rsidRDefault="00952F24" w:rsidP="009846F0">
            <w:pPr>
              <w:pStyle w:val="TableText"/>
            </w:pPr>
          </w:p>
        </w:tc>
        <w:tc>
          <w:tcPr>
            <w:tcW w:w="6519" w:type="dxa"/>
          </w:tcPr>
          <w:p w14:paraId="12FCD661" w14:textId="6E577FDA" w:rsidR="00952F24" w:rsidRDefault="00952F24" w:rsidP="007A7D0B">
            <w:pPr>
              <w:pStyle w:val="TableBlock"/>
            </w:pPr>
            <w:r>
              <w:rPr>
                <w:rFonts w:hint="cs"/>
                <w:rtl/>
              </w:rPr>
              <w:t>(4)</w:t>
            </w:r>
            <w:r>
              <w:rPr>
                <w:rtl/>
              </w:rPr>
              <w:tab/>
            </w:r>
            <w:r>
              <w:rPr>
                <w:rFonts w:hint="cs"/>
                <w:rtl/>
              </w:rPr>
              <w:t xml:space="preserve"> שלושה </w:t>
            </w:r>
            <w:r w:rsidR="00054BEC">
              <w:rPr>
                <w:rFonts w:hint="cs"/>
                <w:rtl/>
              </w:rPr>
              <w:t>חברי סגל אקדמי בכיר</w:t>
            </w:r>
            <w:r w:rsidR="007A7D0B">
              <w:rPr>
                <w:rFonts w:hint="cs"/>
                <w:rtl/>
              </w:rPr>
              <w:t xml:space="preserve"> אשר ייבחרו על ידי שר החינוך</w:t>
            </w:r>
            <w:r>
              <w:rPr>
                <w:rFonts w:hint="cs"/>
                <w:rtl/>
              </w:rPr>
              <w:t xml:space="preserve"> מתוך רשימה שתגיש המועצה להשכלה גבוהה, כמשמעותה בחוק המועצה להשכלה גבוהה, התשי"ח–1958</w:t>
            </w:r>
            <w:r>
              <w:rPr>
                <w:rStyle w:val="a5"/>
                <w:rtl/>
              </w:rPr>
              <w:footnoteReference w:id="2"/>
            </w:r>
            <w:r>
              <w:rPr>
                <w:rFonts w:hint="cs"/>
                <w:rtl/>
              </w:rPr>
              <w:t>;</w:t>
            </w:r>
          </w:p>
        </w:tc>
      </w:tr>
      <w:tr w:rsidR="00952F24" w14:paraId="214425A9" w14:textId="77777777" w:rsidTr="009846F0">
        <w:trPr>
          <w:cantSplit/>
        </w:trPr>
        <w:tc>
          <w:tcPr>
            <w:tcW w:w="1870" w:type="dxa"/>
          </w:tcPr>
          <w:p w14:paraId="3C65A56B" w14:textId="77777777" w:rsidR="00952F24" w:rsidRDefault="00952F24" w:rsidP="009846F0">
            <w:pPr>
              <w:pStyle w:val="TableSideHeading"/>
            </w:pPr>
          </w:p>
        </w:tc>
        <w:tc>
          <w:tcPr>
            <w:tcW w:w="624" w:type="dxa"/>
          </w:tcPr>
          <w:p w14:paraId="2287D67C" w14:textId="77777777" w:rsidR="00952F24" w:rsidRDefault="00952F24" w:rsidP="009846F0">
            <w:pPr>
              <w:pStyle w:val="TableText"/>
            </w:pPr>
          </w:p>
        </w:tc>
        <w:tc>
          <w:tcPr>
            <w:tcW w:w="624" w:type="dxa"/>
          </w:tcPr>
          <w:p w14:paraId="503C1A01" w14:textId="77777777" w:rsidR="00952F24" w:rsidRDefault="00952F24" w:rsidP="009846F0">
            <w:pPr>
              <w:pStyle w:val="TableText"/>
            </w:pPr>
          </w:p>
        </w:tc>
        <w:tc>
          <w:tcPr>
            <w:tcW w:w="6519" w:type="dxa"/>
          </w:tcPr>
          <w:p w14:paraId="2CBE72BA" w14:textId="578C4B8D" w:rsidR="00952F24" w:rsidRDefault="00952F24" w:rsidP="009846F0">
            <w:pPr>
              <w:pStyle w:val="TableBlock"/>
            </w:pPr>
            <w:r>
              <w:rPr>
                <w:rFonts w:hint="cs"/>
                <w:rtl/>
              </w:rPr>
              <w:t>(5)</w:t>
            </w:r>
            <w:r>
              <w:rPr>
                <w:rFonts w:hint="cs"/>
                <w:rtl/>
              </w:rPr>
              <w:tab/>
              <w:t>שלושה נציגי ציבור שתבחר הכנסת בהצבעה חשאית במליאת הכנסת מתוך רשימה שיגישו סיעות הבית;</w:t>
            </w:r>
            <w:r w:rsidR="007A7D0B">
              <w:rPr>
                <w:rFonts w:hint="cs"/>
                <w:rtl/>
              </w:rPr>
              <w:t xml:space="preserve"> פרטים לעניין זה ייקבעו בתקנון הכנסת;</w:t>
            </w:r>
          </w:p>
        </w:tc>
      </w:tr>
      <w:tr w:rsidR="00952F24" w14:paraId="69CBB067" w14:textId="77777777" w:rsidTr="009846F0">
        <w:trPr>
          <w:cantSplit/>
        </w:trPr>
        <w:tc>
          <w:tcPr>
            <w:tcW w:w="1870" w:type="dxa"/>
          </w:tcPr>
          <w:p w14:paraId="4E6580F0" w14:textId="77777777" w:rsidR="00952F24" w:rsidRDefault="00952F24" w:rsidP="009846F0">
            <w:pPr>
              <w:pStyle w:val="TableSideHeading"/>
            </w:pPr>
          </w:p>
        </w:tc>
        <w:tc>
          <w:tcPr>
            <w:tcW w:w="624" w:type="dxa"/>
          </w:tcPr>
          <w:p w14:paraId="27104809" w14:textId="77777777" w:rsidR="00952F24" w:rsidRDefault="00952F24" w:rsidP="009846F0">
            <w:pPr>
              <w:pStyle w:val="TableText"/>
            </w:pPr>
          </w:p>
        </w:tc>
        <w:tc>
          <w:tcPr>
            <w:tcW w:w="624" w:type="dxa"/>
          </w:tcPr>
          <w:p w14:paraId="36A85ABC" w14:textId="77777777" w:rsidR="00952F24" w:rsidRDefault="00952F24" w:rsidP="009846F0">
            <w:pPr>
              <w:pStyle w:val="TableText"/>
            </w:pPr>
          </w:p>
        </w:tc>
        <w:tc>
          <w:tcPr>
            <w:tcW w:w="6519" w:type="dxa"/>
          </w:tcPr>
          <w:p w14:paraId="73ADB37D" w14:textId="043DB203" w:rsidR="00952F24" w:rsidRDefault="00952F24" w:rsidP="007A7D0B">
            <w:pPr>
              <w:pStyle w:val="TableBlock"/>
            </w:pPr>
            <w:r>
              <w:rPr>
                <w:rFonts w:hint="cs"/>
                <w:rtl/>
              </w:rPr>
              <w:t>(6)</w:t>
            </w:r>
            <w:r>
              <w:rPr>
                <w:rFonts w:hint="cs"/>
                <w:rtl/>
              </w:rPr>
              <w:tab/>
              <w:t>אזרח ישראלי, שארץ הולדתו אינה ישראל, שעלה לישראל לפני לא יותר מעשרים שנים, וששהה בישראל כחמש שנים לפחות</w:t>
            </w:r>
            <w:r w:rsidR="007A7D0B">
              <w:rPr>
                <w:rFonts w:hint="cs"/>
                <w:rtl/>
              </w:rPr>
              <w:t xml:space="preserve"> שייבחר</w:t>
            </w:r>
            <w:r>
              <w:rPr>
                <w:rFonts w:hint="cs"/>
                <w:rtl/>
              </w:rPr>
              <w:t xml:space="preserve"> </w:t>
            </w:r>
            <w:r w:rsidR="007A7D0B">
              <w:rPr>
                <w:rFonts w:hint="cs"/>
                <w:rtl/>
              </w:rPr>
              <w:t xml:space="preserve">על ידי השר לעלייה וקליטה </w:t>
            </w:r>
            <w:r>
              <w:rPr>
                <w:rFonts w:hint="cs"/>
                <w:rtl/>
              </w:rPr>
              <w:t>מתוך רשימה שיגיש יושב ראש הסוכנות היהודית לארץ ישראל.</w:t>
            </w:r>
          </w:p>
        </w:tc>
      </w:tr>
      <w:tr w:rsidR="00952F24" w14:paraId="0A6EED49" w14:textId="77777777" w:rsidTr="009846F0">
        <w:trPr>
          <w:cantSplit/>
        </w:trPr>
        <w:tc>
          <w:tcPr>
            <w:tcW w:w="1870" w:type="dxa"/>
          </w:tcPr>
          <w:p w14:paraId="463B5222" w14:textId="77777777" w:rsidR="00952F24" w:rsidRDefault="00952F24" w:rsidP="009846F0">
            <w:pPr>
              <w:pStyle w:val="TableSideHeading"/>
              <w:rPr>
                <w:rtl/>
              </w:rPr>
            </w:pPr>
          </w:p>
        </w:tc>
        <w:tc>
          <w:tcPr>
            <w:tcW w:w="624" w:type="dxa"/>
          </w:tcPr>
          <w:p w14:paraId="6CCABFB6" w14:textId="77777777" w:rsidR="00952F24" w:rsidRDefault="00952F24" w:rsidP="009846F0">
            <w:pPr>
              <w:pStyle w:val="TableText"/>
              <w:rPr>
                <w:rtl/>
              </w:rPr>
            </w:pPr>
          </w:p>
        </w:tc>
        <w:tc>
          <w:tcPr>
            <w:tcW w:w="7143" w:type="dxa"/>
            <w:gridSpan w:val="2"/>
          </w:tcPr>
          <w:p w14:paraId="39298F65" w14:textId="00400614" w:rsidR="00952F24" w:rsidRDefault="00952F24" w:rsidP="00997DAA">
            <w:pPr>
              <w:pStyle w:val="TableBlock"/>
              <w:rPr>
                <w:rtl/>
              </w:rPr>
            </w:pPr>
            <w:r>
              <w:rPr>
                <w:rFonts w:hint="cs"/>
                <w:rtl/>
              </w:rPr>
              <w:t>(ב)</w:t>
            </w:r>
            <w:r>
              <w:rPr>
                <w:rFonts w:hint="cs"/>
                <w:rtl/>
              </w:rPr>
              <w:tab/>
              <w:t>כל רשימ</w:t>
            </w:r>
            <w:r w:rsidR="00997DAA">
              <w:rPr>
                <w:rFonts w:hint="cs"/>
                <w:rtl/>
              </w:rPr>
              <w:t>ת מועמדים כאמור בסעיף קטן (א)</w:t>
            </w:r>
            <w:r>
              <w:rPr>
                <w:rFonts w:hint="cs"/>
                <w:rtl/>
              </w:rPr>
              <w:t xml:space="preserve"> תכלול לפחות </w:t>
            </w:r>
            <w:r w:rsidR="00997DAA">
              <w:rPr>
                <w:rFonts w:hint="cs"/>
                <w:rtl/>
              </w:rPr>
              <w:t xml:space="preserve">פי שניים מועמדים </w:t>
            </w:r>
            <w:r>
              <w:rPr>
                <w:rFonts w:hint="cs"/>
                <w:rtl/>
              </w:rPr>
              <w:t xml:space="preserve">ממספר השופטים </w:t>
            </w:r>
            <w:r w:rsidR="00997DAA">
              <w:rPr>
                <w:rFonts w:hint="cs"/>
                <w:rtl/>
              </w:rPr>
              <w:t>שניתן לבחור אותם</w:t>
            </w:r>
            <w:r>
              <w:rPr>
                <w:rFonts w:hint="cs"/>
                <w:rtl/>
              </w:rPr>
              <w:t xml:space="preserve">. </w:t>
            </w:r>
          </w:p>
        </w:tc>
      </w:tr>
      <w:tr w:rsidR="00952F24" w14:paraId="756C57A8" w14:textId="77777777" w:rsidTr="009846F0">
        <w:trPr>
          <w:cantSplit/>
        </w:trPr>
        <w:tc>
          <w:tcPr>
            <w:tcW w:w="1870" w:type="dxa"/>
          </w:tcPr>
          <w:p w14:paraId="5C91C9F5" w14:textId="77777777" w:rsidR="00952F24" w:rsidRDefault="00952F24" w:rsidP="009846F0">
            <w:pPr>
              <w:pStyle w:val="TableSideHeading"/>
            </w:pPr>
            <w:r>
              <w:rPr>
                <w:rFonts w:hint="cs"/>
                <w:rtl/>
              </w:rPr>
              <w:t xml:space="preserve">כשירות </w:t>
            </w:r>
          </w:p>
        </w:tc>
        <w:tc>
          <w:tcPr>
            <w:tcW w:w="624" w:type="dxa"/>
          </w:tcPr>
          <w:p w14:paraId="5FFD9DEF" w14:textId="77777777" w:rsidR="00952F24" w:rsidRDefault="00952F24" w:rsidP="009846F0">
            <w:pPr>
              <w:pStyle w:val="TableText"/>
            </w:pPr>
            <w:r>
              <w:rPr>
                <w:rFonts w:hint="cs"/>
                <w:rtl/>
              </w:rPr>
              <w:t>4.</w:t>
            </w:r>
          </w:p>
        </w:tc>
        <w:tc>
          <w:tcPr>
            <w:tcW w:w="7143" w:type="dxa"/>
            <w:gridSpan w:val="2"/>
          </w:tcPr>
          <w:p w14:paraId="1FA0C32D" w14:textId="3335E28A" w:rsidR="00952F24" w:rsidRDefault="00952F24" w:rsidP="00997DAA">
            <w:pPr>
              <w:pStyle w:val="TableBlock"/>
            </w:pPr>
            <w:r>
              <w:rPr>
                <w:rFonts w:hint="cs"/>
                <w:rtl/>
              </w:rPr>
              <w:t>(א)</w:t>
            </w:r>
            <w:r>
              <w:rPr>
                <w:rFonts w:hint="cs"/>
                <w:rtl/>
              </w:rPr>
              <w:tab/>
              <w:t xml:space="preserve"> לא יתמנה שופט בית משפט לחוקה אלא אזרח ישראל אשר גילו מעל 21 ואשר שירת שירות צבאי או שירות לאומי. </w:t>
            </w:r>
          </w:p>
        </w:tc>
      </w:tr>
      <w:tr w:rsidR="00952F24" w14:paraId="7B4F3B04" w14:textId="77777777" w:rsidTr="009846F0">
        <w:trPr>
          <w:cantSplit/>
        </w:trPr>
        <w:tc>
          <w:tcPr>
            <w:tcW w:w="1870" w:type="dxa"/>
          </w:tcPr>
          <w:p w14:paraId="586BBEB7" w14:textId="77777777" w:rsidR="00952F24" w:rsidRDefault="00952F24" w:rsidP="009846F0">
            <w:pPr>
              <w:pStyle w:val="TableSideHeading"/>
              <w:rPr>
                <w:rtl/>
              </w:rPr>
            </w:pPr>
          </w:p>
        </w:tc>
        <w:tc>
          <w:tcPr>
            <w:tcW w:w="624" w:type="dxa"/>
          </w:tcPr>
          <w:p w14:paraId="388067E5" w14:textId="77777777" w:rsidR="00952F24" w:rsidRDefault="00952F24" w:rsidP="009846F0">
            <w:pPr>
              <w:pStyle w:val="TableText"/>
              <w:rPr>
                <w:rtl/>
              </w:rPr>
            </w:pPr>
          </w:p>
        </w:tc>
        <w:tc>
          <w:tcPr>
            <w:tcW w:w="7143" w:type="dxa"/>
            <w:gridSpan w:val="2"/>
          </w:tcPr>
          <w:p w14:paraId="311E87DF" w14:textId="193EF997" w:rsidR="00952F24" w:rsidRDefault="00952F24" w:rsidP="009846F0">
            <w:pPr>
              <w:pStyle w:val="TableBlock"/>
              <w:rPr>
                <w:rtl/>
              </w:rPr>
            </w:pPr>
            <w:r>
              <w:rPr>
                <w:rFonts w:hint="cs"/>
                <w:rtl/>
              </w:rPr>
              <w:t>(ב)</w:t>
            </w:r>
            <w:r>
              <w:rPr>
                <w:rFonts w:hint="cs"/>
                <w:rtl/>
              </w:rPr>
              <w:tab/>
              <w:t>לא יתמנה אדם ל</w:t>
            </w:r>
            <w:r w:rsidR="00997DAA">
              <w:rPr>
                <w:rFonts w:hint="cs"/>
                <w:rtl/>
              </w:rPr>
              <w:t xml:space="preserve">שופט בבית המשפט לחוקה </w:t>
            </w:r>
            <w:r>
              <w:rPr>
                <w:rFonts w:hint="cs"/>
                <w:rtl/>
              </w:rPr>
              <w:t>אדם שהורשע בדין פלילי בעבירה למעט עבירות תעבורה או עבירות מסוג ברירת משפט.</w:t>
            </w:r>
          </w:p>
        </w:tc>
      </w:tr>
      <w:tr w:rsidR="00952F24" w14:paraId="5ACB5518" w14:textId="77777777" w:rsidTr="009846F0">
        <w:trPr>
          <w:cantSplit/>
        </w:trPr>
        <w:tc>
          <w:tcPr>
            <w:tcW w:w="1870" w:type="dxa"/>
          </w:tcPr>
          <w:p w14:paraId="299813D2" w14:textId="77777777" w:rsidR="00952F24" w:rsidRDefault="00952F24" w:rsidP="009846F0">
            <w:pPr>
              <w:pStyle w:val="TableSideHeading"/>
            </w:pPr>
            <w:r>
              <w:rPr>
                <w:rFonts w:hint="cs"/>
                <w:rtl/>
              </w:rPr>
              <w:lastRenderedPageBreak/>
              <w:t xml:space="preserve">הצהרת אמונים </w:t>
            </w:r>
          </w:p>
        </w:tc>
        <w:tc>
          <w:tcPr>
            <w:tcW w:w="624" w:type="dxa"/>
          </w:tcPr>
          <w:p w14:paraId="4A3D336F" w14:textId="77777777" w:rsidR="00952F24" w:rsidRDefault="00952F24" w:rsidP="009846F0">
            <w:pPr>
              <w:pStyle w:val="TableText"/>
            </w:pPr>
            <w:r>
              <w:rPr>
                <w:rFonts w:hint="cs"/>
                <w:rtl/>
              </w:rPr>
              <w:t>5.</w:t>
            </w:r>
          </w:p>
        </w:tc>
        <w:tc>
          <w:tcPr>
            <w:tcW w:w="7143" w:type="dxa"/>
            <w:gridSpan w:val="2"/>
          </w:tcPr>
          <w:p w14:paraId="28EB027E" w14:textId="2D46D345" w:rsidR="00952F24" w:rsidRDefault="00952F24" w:rsidP="00E059E4">
            <w:pPr>
              <w:pStyle w:val="TableBlock"/>
            </w:pPr>
            <w:r>
              <w:rPr>
                <w:rFonts w:hint="cs"/>
                <w:rtl/>
              </w:rPr>
              <w:t xml:space="preserve">מי שנתמנה לכהן כשופט בבית המשפט לחוקה יצהיר </w:t>
            </w:r>
            <w:r w:rsidR="00E059E4">
              <w:rPr>
                <w:rFonts w:hint="cs"/>
                <w:rtl/>
              </w:rPr>
              <w:t>ב</w:t>
            </w:r>
            <w:r>
              <w:rPr>
                <w:rFonts w:hint="cs"/>
                <w:rtl/>
              </w:rPr>
              <w:t>פני נשיא המדינה</w:t>
            </w:r>
            <w:r w:rsidR="00E059E4">
              <w:rPr>
                <w:rFonts w:hint="cs"/>
                <w:rtl/>
              </w:rPr>
              <w:t xml:space="preserve"> הצהרת אמונים זו</w:t>
            </w:r>
            <w:r>
              <w:rPr>
                <w:rFonts w:hint="cs"/>
                <w:rtl/>
              </w:rPr>
              <w:t>: "אני מתחייב לשמור אמונים למדינת ישראל כמדינה יהודית דמוקרטית, לערכיה וסמליה, לשפוט משפט צדק, לא להטות משפט ולא להכיר פנים".</w:t>
            </w:r>
          </w:p>
        </w:tc>
      </w:tr>
      <w:tr w:rsidR="00952F24" w14:paraId="1A3460BB" w14:textId="77777777" w:rsidTr="009846F0">
        <w:trPr>
          <w:cantSplit/>
        </w:trPr>
        <w:tc>
          <w:tcPr>
            <w:tcW w:w="1870" w:type="dxa"/>
          </w:tcPr>
          <w:p w14:paraId="458C51D6" w14:textId="77777777" w:rsidR="00952F24" w:rsidRPr="00B70B74" w:rsidRDefault="00952F24" w:rsidP="009846F0">
            <w:pPr>
              <w:pStyle w:val="TableSideHeading"/>
            </w:pPr>
            <w:r>
              <w:rPr>
                <w:rFonts w:hint="cs"/>
                <w:rtl/>
              </w:rPr>
              <w:t xml:space="preserve">תקופת כהונה </w:t>
            </w:r>
          </w:p>
        </w:tc>
        <w:tc>
          <w:tcPr>
            <w:tcW w:w="624" w:type="dxa"/>
          </w:tcPr>
          <w:p w14:paraId="332C4999" w14:textId="77777777" w:rsidR="00952F24" w:rsidRDefault="00952F24" w:rsidP="009846F0">
            <w:pPr>
              <w:pStyle w:val="TableText"/>
            </w:pPr>
            <w:r>
              <w:rPr>
                <w:rFonts w:hint="cs"/>
                <w:rtl/>
              </w:rPr>
              <w:t>6.</w:t>
            </w:r>
          </w:p>
        </w:tc>
        <w:tc>
          <w:tcPr>
            <w:tcW w:w="7143" w:type="dxa"/>
            <w:gridSpan w:val="2"/>
          </w:tcPr>
          <w:p w14:paraId="451037AA" w14:textId="77777777" w:rsidR="00952F24" w:rsidRDefault="00952F24" w:rsidP="009846F0">
            <w:pPr>
              <w:pStyle w:val="TableBlock"/>
            </w:pPr>
            <w:r>
              <w:rPr>
                <w:rFonts w:hint="cs"/>
                <w:rtl/>
              </w:rPr>
              <w:t xml:space="preserve">כהונת שופט תתחיל מעת שהצהיר הצהרת אמונים ולא תסתיים אלא באחת מאלה: </w:t>
            </w:r>
          </w:p>
        </w:tc>
      </w:tr>
      <w:tr w:rsidR="00952F24" w14:paraId="4C539FE8" w14:textId="77777777" w:rsidTr="009846F0">
        <w:trPr>
          <w:cantSplit/>
        </w:trPr>
        <w:tc>
          <w:tcPr>
            <w:tcW w:w="1870" w:type="dxa"/>
          </w:tcPr>
          <w:p w14:paraId="666FB5F4" w14:textId="77777777" w:rsidR="00952F24" w:rsidRDefault="00952F24" w:rsidP="009846F0">
            <w:pPr>
              <w:pStyle w:val="TableSideHeading"/>
            </w:pPr>
          </w:p>
        </w:tc>
        <w:tc>
          <w:tcPr>
            <w:tcW w:w="624" w:type="dxa"/>
          </w:tcPr>
          <w:p w14:paraId="66A4518B" w14:textId="77777777" w:rsidR="00952F24" w:rsidRDefault="00952F24" w:rsidP="009846F0">
            <w:pPr>
              <w:pStyle w:val="TableText"/>
            </w:pPr>
          </w:p>
        </w:tc>
        <w:tc>
          <w:tcPr>
            <w:tcW w:w="7143" w:type="dxa"/>
            <w:gridSpan w:val="2"/>
          </w:tcPr>
          <w:p w14:paraId="48D91DA8" w14:textId="77777777" w:rsidR="00952F24" w:rsidRDefault="00952F24" w:rsidP="009846F0">
            <w:pPr>
              <w:pStyle w:val="TableBlock"/>
            </w:pPr>
            <w:r>
              <w:rPr>
                <w:rFonts w:hint="cs"/>
                <w:rtl/>
              </w:rPr>
              <w:t>(1)</w:t>
            </w:r>
            <w:r>
              <w:rPr>
                <w:rFonts w:hint="cs"/>
                <w:rtl/>
              </w:rPr>
              <w:tab/>
              <w:t>בתום שבע שנים לכהונתו;</w:t>
            </w:r>
          </w:p>
        </w:tc>
      </w:tr>
      <w:tr w:rsidR="00952F24" w14:paraId="6D4385B8" w14:textId="77777777" w:rsidTr="009846F0">
        <w:trPr>
          <w:cantSplit/>
        </w:trPr>
        <w:tc>
          <w:tcPr>
            <w:tcW w:w="1870" w:type="dxa"/>
          </w:tcPr>
          <w:p w14:paraId="3F2A5402" w14:textId="77777777" w:rsidR="00952F24" w:rsidRDefault="00952F24" w:rsidP="009846F0">
            <w:pPr>
              <w:pStyle w:val="TableSideHeading"/>
            </w:pPr>
          </w:p>
        </w:tc>
        <w:tc>
          <w:tcPr>
            <w:tcW w:w="624" w:type="dxa"/>
          </w:tcPr>
          <w:p w14:paraId="55E5AA91" w14:textId="77777777" w:rsidR="00952F24" w:rsidRDefault="00952F24" w:rsidP="009846F0">
            <w:pPr>
              <w:pStyle w:val="TableText"/>
            </w:pPr>
          </w:p>
        </w:tc>
        <w:tc>
          <w:tcPr>
            <w:tcW w:w="7143" w:type="dxa"/>
            <w:gridSpan w:val="2"/>
          </w:tcPr>
          <w:p w14:paraId="66CD4E58" w14:textId="77777777" w:rsidR="00952F24" w:rsidRDefault="00952F24" w:rsidP="009846F0">
            <w:pPr>
              <w:pStyle w:val="TableBlock"/>
            </w:pPr>
            <w:r>
              <w:rPr>
                <w:rFonts w:hint="cs"/>
                <w:rtl/>
              </w:rPr>
              <w:t>(2)</w:t>
            </w:r>
            <w:r>
              <w:rPr>
                <w:rFonts w:hint="cs"/>
                <w:rtl/>
              </w:rPr>
              <w:tab/>
              <w:t>בצאתו לקצבה;</w:t>
            </w:r>
          </w:p>
        </w:tc>
      </w:tr>
      <w:tr w:rsidR="00952F24" w14:paraId="532B8068" w14:textId="77777777" w:rsidTr="009846F0">
        <w:trPr>
          <w:cantSplit/>
        </w:trPr>
        <w:tc>
          <w:tcPr>
            <w:tcW w:w="1870" w:type="dxa"/>
          </w:tcPr>
          <w:p w14:paraId="526DD86E" w14:textId="77777777" w:rsidR="00952F24" w:rsidRDefault="00952F24" w:rsidP="009846F0">
            <w:pPr>
              <w:pStyle w:val="TableSideHeading"/>
            </w:pPr>
          </w:p>
        </w:tc>
        <w:tc>
          <w:tcPr>
            <w:tcW w:w="624" w:type="dxa"/>
          </w:tcPr>
          <w:p w14:paraId="5B14E613" w14:textId="77777777" w:rsidR="00952F24" w:rsidRDefault="00952F24" w:rsidP="009846F0">
            <w:pPr>
              <w:pStyle w:val="TableText"/>
            </w:pPr>
          </w:p>
        </w:tc>
        <w:tc>
          <w:tcPr>
            <w:tcW w:w="7143" w:type="dxa"/>
            <w:gridSpan w:val="2"/>
          </w:tcPr>
          <w:p w14:paraId="4BCB593E" w14:textId="77777777" w:rsidR="00952F24" w:rsidRDefault="00952F24" w:rsidP="009846F0">
            <w:pPr>
              <w:pStyle w:val="TableBlock"/>
            </w:pPr>
            <w:r>
              <w:rPr>
                <w:rFonts w:hint="cs"/>
                <w:rtl/>
              </w:rPr>
              <w:t>(3)</w:t>
            </w:r>
            <w:r>
              <w:rPr>
                <w:rFonts w:hint="cs"/>
                <w:rtl/>
              </w:rPr>
              <w:tab/>
              <w:t>בהתפטרותו;</w:t>
            </w:r>
          </w:p>
        </w:tc>
      </w:tr>
      <w:tr w:rsidR="00952F24" w14:paraId="05D5E350" w14:textId="77777777" w:rsidTr="009846F0">
        <w:trPr>
          <w:cantSplit/>
        </w:trPr>
        <w:tc>
          <w:tcPr>
            <w:tcW w:w="1870" w:type="dxa"/>
          </w:tcPr>
          <w:p w14:paraId="46E9EA4D" w14:textId="77777777" w:rsidR="00952F24" w:rsidRDefault="00952F24" w:rsidP="009846F0">
            <w:pPr>
              <w:pStyle w:val="TableSideHeading"/>
            </w:pPr>
          </w:p>
        </w:tc>
        <w:tc>
          <w:tcPr>
            <w:tcW w:w="624" w:type="dxa"/>
          </w:tcPr>
          <w:p w14:paraId="16CE619E" w14:textId="77777777" w:rsidR="00952F24" w:rsidRDefault="00952F24" w:rsidP="009846F0">
            <w:pPr>
              <w:pStyle w:val="TableText"/>
            </w:pPr>
          </w:p>
        </w:tc>
        <w:tc>
          <w:tcPr>
            <w:tcW w:w="7143" w:type="dxa"/>
            <w:gridSpan w:val="2"/>
          </w:tcPr>
          <w:p w14:paraId="0683B57B" w14:textId="77777777" w:rsidR="00952F24" w:rsidRDefault="00952F24" w:rsidP="009846F0">
            <w:pPr>
              <w:pStyle w:val="TableBlock"/>
            </w:pPr>
            <w:r>
              <w:rPr>
                <w:rFonts w:hint="cs"/>
                <w:rtl/>
              </w:rPr>
              <w:t>(4)</w:t>
            </w:r>
            <w:r>
              <w:rPr>
                <w:rFonts w:hint="cs"/>
                <w:rtl/>
              </w:rPr>
              <w:tab/>
              <w:t>בהיבחרו או במינוי לאחד התפקידים שנושאיהם מנועים מלהיות מועמדים לכנסת;</w:t>
            </w:r>
          </w:p>
        </w:tc>
      </w:tr>
      <w:tr w:rsidR="00952F24" w14:paraId="513CD0DA" w14:textId="77777777" w:rsidTr="009846F0">
        <w:trPr>
          <w:cantSplit/>
        </w:trPr>
        <w:tc>
          <w:tcPr>
            <w:tcW w:w="1870" w:type="dxa"/>
          </w:tcPr>
          <w:p w14:paraId="797E2D4E" w14:textId="77777777" w:rsidR="00952F24" w:rsidRDefault="00952F24" w:rsidP="009846F0">
            <w:pPr>
              <w:pStyle w:val="TableSideHeading"/>
            </w:pPr>
          </w:p>
        </w:tc>
        <w:tc>
          <w:tcPr>
            <w:tcW w:w="624" w:type="dxa"/>
          </w:tcPr>
          <w:p w14:paraId="789D00D8" w14:textId="77777777" w:rsidR="00952F24" w:rsidRDefault="00952F24" w:rsidP="009846F0">
            <w:pPr>
              <w:pStyle w:val="TableText"/>
            </w:pPr>
          </w:p>
        </w:tc>
        <w:tc>
          <w:tcPr>
            <w:tcW w:w="7143" w:type="dxa"/>
            <w:gridSpan w:val="2"/>
          </w:tcPr>
          <w:p w14:paraId="3A3653E2" w14:textId="77777777" w:rsidR="00952F24" w:rsidRDefault="00952F24" w:rsidP="009846F0">
            <w:pPr>
              <w:pStyle w:val="TableBlock"/>
            </w:pPr>
            <w:r>
              <w:rPr>
                <w:rFonts w:hint="cs"/>
                <w:rtl/>
              </w:rPr>
              <w:t>(5)</w:t>
            </w:r>
            <w:r>
              <w:rPr>
                <w:rFonts w:hint="cs"/>
                <w:rtl/>
              </w:rPr>
              <w:tab/>
              <w:t>בהגיעו לגיל שבעים;</w:t>
            </w:r>
          </w:p>
        </w:tc>
      </w:tr>
      <w:tr w:rsidR="00952F24" w14:paraId="013B1F16" w14:textId="77777777" w:rsidTr="009846F0">
        <w:trPr>
          <w:cantSplit/>
        </w:trPr>
        <w:tc>
          <w:tcPr>
            <w:tcW w:w="1870" w:type="dxa"/>
          </w:tcPr>
          <w:p w14:paraId="25252D8A" w14:textId="77777777" w:rsidR="00952F24" w:rsidRDefault="00952F24" w:rsidP="009846F0">
            <w:pPr>
              <w:pStyle w:val="TableSideHeading"/>
            </w:pPr>
          </w:p>
        </w:tc>
        <w:tc>
          <w:tcPr>
            <w:tcW w:w="624" w:type="dxa"/>
          </w:tcPr>
          <w:p w14:paraId="1E50C1A7" w14:textId="77777777" w:rsidR="00952F24" w:rsidRDefault="00952F24" w:rsidP="009846F0">
            <w:pPr>
              <w:pStyle w:val="TableText"/>
            </w:pPr>
          </w:p>
        </w:tc>
        <w:tc>
          <w:tcPr>
            <w:tcW w:w="7143" w:type="dxa"/>
            <w:gridSpan w:val="2"/>
          </w:tcPr>
          <w:p w14:paraId="1B21F831" w14:textId="77777777" w:rsidR="00952F24" w:rsidRDefault="00952F24" w:rsidP="009846F0">
            <w:pPr>
              <w:pStyle w:val="TableBlock"/>
            </w:pPr>
            <w:r>
              <w:rPr>
                <w:rFonts w:hint="cs"/>
                <w:rtl/>
              </w:rPr>
              <w:t>(6)</w:t>
            </w:r>
            <w:r>
              <w:rPr>
                <w:rFonts w:hint="cs"/>
                <w:rtl/>
              </w:rPr>
              <w:tab/>
              <w:t>על פי החלטה של לפחות תשעה משופטי בית המשפט לחוקה;</w:t>
            </w:r>
          </w:p>
        </w:tc>
      </w:tr>
      <w:tr w:rsidR="00952F24" w14:paraId="2FB65C37" w14:textId="77777777" w:rsidTr="009846F0">
        <w:trPr>
          <w:cantSplit/>
        </w:trPr>
        <w:tc>
          <w:tcPr>
            <w:tcW w:w="1870" w:type="dxa"/>
          </w:tcPr>
          <w:p w14:paraId="542433B5" w14:textId="77777777" w:rsidR="00952F24" w:rsidRDefault="00952F24" w:rsidP="009846F0">
            <w:pPr>
              <w:pStyle w:val="TableSideHeading"/>
            </w:pPr>
          </w:p>
        </w:tc>
        <w:tc>
          <w:tcPr>
            <w:tcW w:w="624" w:type="dxa"/>
          </w:tcPr>
          <w:p w14:paraId="0BE080BF" w14:textId="77777777" w:rsidR="00952F24" w:rsidRDefault="00952F24" w:rsidP="009846F0">
            <w:pPr>
              <w:pStyle w:val="TableText"/>
            </w:pPr>
          </w:p>
        </w:tc>
        <w:tc>
          <w:tcPr>
            <w:tcW w:w="7143" w:type="dxa"/>
            <w:gridSpan w:val="2"/>
          </w:tcPr>
          <w:p w14:paraId="3EB7E419" w14:textId="77777777" w:rsidR="00952F24" w:rsidRDefault="00952F24" w:rsidP="009846F0">
            <w:pPr>
              <w:pStyle w:val="TableBlock"/>
            </w:pPr>
            <w:r>
              <w:rPr>
                <w:rFonts w:hint="cs"/>
                <w:rtl/>
              </w:rPr>
              <w:t>(7)</w:t>
            </w:r>
            <w:r>
              <w:rPr>
                <w:rFonts w:hint="cs"/>
                <w:rtl/>
              </w:rPr>
              <w:tab/>
              <w:t xml:space="preserve">בפטירתו; </w:t>
            </w:r>
          </w:p>
        </w:tc>
      </w:tr>
      <w:tr w:rsidR="00952F24" w14:paraId="677AAB16" w14:textId="77777777" w:rsidTr="009846F0">
        <w:trPr>
          <w:cantSplit/>
        </w:trPr>
        <w:tc>
          <w:tcPr>
            <w:tcW w:w="1870" w:type="dxa"/>
          </w:tcPr>
          <w:p w14:paraId="01FC6840" w14:textId="77777777" w:rsidR="00952F24" w:rsidRDefault="00952F24" w:rsidP="009846F0">
            <w:pPr>
              <w:pStyle w:val="TableSideHeading"/>
            </w:pPr>
          </w:p>
        </w:tc>
        <w:tc>
          <w:tcPr>
            <w:tcW w:w="624" w:type="dxa"/>
          </w:tcPr>
          <w:p w14:paraId="4B38108D" w14:textId="77777777" w:rsidR="00952F24" w:rsidRDefault="00952F24" w:rsidP="009846F0">
            <w:pPr>
              <w:pStyle w:val="TableText"/>
            </w:pPr>
          </w:p>
        </w:tc>
        <w:tc>
          <w:tcPr>
            <w:tcW w:w="7143" w:type="dxa"/>
            <w:gridSpan w:val="2"/>
          </w:tcPr>
          <w:p w14:paraId="40DFDEFF" w14:textId="77777777" w:rsidR="00952F24" w:rsidRDefault="00952F24" w:rsidP="009846F0">
            <w:pPr>
              <w:pStyle w:val="TableBlock"/>
              <w:rPr>
                <w:rtl/>
              </w:rPr>
            </w:pPr>
            <w:r>
              <w:rPr>
                <w:rFonts w:hint="cs"/>
                <w:rtl/>
              </w:rPr>
              <w:t>(8)</w:t>
            </w:r>
            <w:r>
              <w:rPr>
                <w:rtl/>
              </w:rPr>
              <w:tab/>
            </w:r>
            <w:r>
              <w:rPr>
                <w:rFonts w:hint="cs"/>
                <w:rtl/>
              </w:rPr>
              <w:t>על פי החלטה של בית הדין המשמעתי, כהגדרתו בחוק-יסוד: השפיטה</w:t>
            </w:r>
            <w:r>
              <w:rPr>
                <w:rStyle w:val="a5"/>
                <w:rtl/>
              </w:rPr>
              <w:footnoteReference w:id="3"/>
            </w:r>
            <w:r>
              <w:rPr>
                <w:rFonts w:hint="cs"/>
                <w:rtl/>
              </w:rPr>
              <w:t>.</w:t>
            </w:r>
          </w:p>
        </w:tc>
      </w:tr>
      <w:tr w:rsidR="00952F24" w14:paraId="07AE7E37" w14:textId="77777777" w:rsidTr="009846F0">
        <w:trPr>
          <w:cantSplit/>
        </w:trPr>
        <w:tc>
          <w:tcPr>
            <w:tcW w:w="1870" w:type="dxa"/>
          </w:tcPr>
          <w:p w14:paraId="68024BA6" w14:textId="77777777" w:rsidR="00952F24" w:rsidRDefault="00952F24" w:rsidP="009846F0">
            <w:pPr>
              <w:pStyle w:val="TableSideHeading"/>
            </w:pPr>
            <w:r>
              <w:rPr>
                <w:rFonts w:hint="cs"/>
                <w:rtl/>
              </w:rPr>
              <w:t xml:space="preserve">ייחוד הכהונה </w:t>
            </w:r>
          </w:p>
        </w:tc>
        <w:tc>
          <w:tcPr>
            <w:tcW w:w="624" w:type="dxa"/>
          </w:tcPr>
          <w:p w14:paraId="3B1D0548" w14:textId="77777777" w:rsidR="00952F24" w:rsidRDefault="00952F24" w:rsidP="009846F0">
            <w:pPr>
              <w:pStyle w:val="TableText"/>
            </w:pPr>
            <w:r>
              <w:rPr>
                <w:rFonts w:hint="cs"/>
                <w:rtl/>
              </w:rPr>
              <w:t>7.</w:t>
            </w:r>
          </w:p>
        </w:tc>
        <w:tc>
          <w:tcPr>
            <w:tcW w:w="7143" w:type="dxa"/>
            <w:gridSpan w:val="2"/>
          </w:tcPr>
          <w:p w14:paraId="63607D29" w14:textId="77777777" w:rsidR="00952F24" w:rsidRDefault="00952F24" w:rsidP="009846F0">
            <w:pPr>
              <w:pStyle w:val="TableBlock"/>
            </w:pPr>
            <w:r>
              <w:rPr>
                <w:rFonts w:hint="cs"/>
                <w:rtl/>
              </w:rPr>
              <w:t>שופט בית משפט לחוקה לא יעסוק בעיסוק נוסף ולא ימלא תפקיד ציבורי אחר, אלא לפי חוק או בהסכמת נשיא בית המשפט לחוקה ושר המשפטים.</w:t>
            </w:r>
          </w:p>
        </w:tc>
      </w:tr>
      <w:tr w:rsidR="00952F24" w14:paraId="4B7005E1" w14:textId="77777777" w:rsidTr="009846F0">
        <w:trPr>
          <w:cantSplit/>
        </w:trPr>
        <w:tc>
          <w:tcPr>
            <w:tcW w:w="1870" w:type="dxa"/>
          </w:tcPr>
          <w:p w14:paraId="4C2CC22C" w14:textId="77777777" w:rsidR="00952F24" w:rsidRDefault="00952F24" w:rsidP="009846F0">
            <w:pPr>
              <w:pStyle w:val="TableSideHeading"/>
            </w:pPr>
            <w:r>
              <w:rPr>
                <w:rFonts w:hint="cs"/>
                <w:rtl/>
              </w:rPr>
              <w:t xml:space="preserve">משכורת וגמלאות </w:t>
            </w:r>
          </w:p>
        </w:tc>
        <w:tc>
          <w:tcPr>
            <w:tcW w:w="624" w:type="dxa"/>
          </w:tcPr>
          <w:p w14:paraId="6C21E2AE" w14:textId="77777777" w:rsidR="00952F24" w:rsidRDefault="00952F24" w:rsidP="009846F0">
            <w:pPr>
              <w:pStyle w:val="TableText"/>
            </w:pPr>
            <w:r>
              <w:rPr>
                <w:rFonts w:hint="cs"/>
                <w:rtl/>
              </w:rPr>
              <w:t>8.</w:t>
            </w:r>
          </w:p>
        </w:tc>
        <w:tc>
          <w:tcPr>
            <w:tcW w:w="7143" w:type="dxa"/>
            <w:gridSpan w:val="2"/>
          </w:tcPr>
          <w:p w14:paraId="6B021F1A" w14:textId="77777777" w:rsidR="00952F24" w:rsidRDefault="00952F24" w:rsidP="009846F0">
            <w:pPr>
              <w:pStyle w:val="TableBlock"/>
            </w:pPr>
            <w:r>
              <w:rPr>
                <w:rFonts w:hint="cs"/>
                <w:rtl/>
              </w:rPr>
              <w:t xml:space="preserve">משכורתם של שופטי בית המשפט לחוקה ותשלומים אחרים שישולמו להם, בתקופת כהונתם או לאחריה, או לשאיריהם לאחר מותם ייקבעו בחוק או בהחלטה של הכנסת או של ועדה מוועדותיה שהכנסת הסמיכה לכך; לא תתקבל החלטה המכוונת להפחית ממשכורתם של שופטים בלבד. </w:t>
            </w:r>
          </w:p>
        </w:tc>
      </w:tr>
      <w:tr w:rsidR="00952F24" w14:paraId="4EC63D36" w14:textId="77777777" w:rsidTr="009846F0">
        <w:trPr>
          <w:cantSplit/>
        </w:trPr>
        <w:tc>
          <w:tcPr>
            <w:tcW w:w="1870" w:type="dxa"/>
          </w:tcPr>
          <w:p w14:paraId="239E7610" w14:textId="77777777" w:rsidR="00952F24" w:rsidRDefault="00952F24" w:rsidP="009846F0">
            <w:pPr>
              <w:pStyle w:val="TableSideHeading"/>
            </w:pPr>
            <w:r>
              <w:rPr>
                <w:rFonts w:hint="cs"/>
                <w:rtl/>
              </w:rPr>
              <w:t xml:space="preserve">שיפוט </w:t>
            </w:r>
          </w:p>
        </w:tc>
        <w:tc>
          <w:tcPr>
            <w:tcW w:w="624" w:type="dxa"/>
          </w:tcPr>
          <w:p w14:paraId="1123F7D1" w14:textId="77777777" w:rsidR="00952F24" w:rsidRDefault="00952F24" w:rsidP="009846F0">
            <w:pPr>
              <w:pStyle w:val="TableText"/>
            </w:pPr>
            <w:r>
              <w:rPr>
                <w:rFonts w:hint="cs"/>
                <w:rtl/>
              </w:rPr>
              <w:t>9.</w:t>
            </w:r>
          </w:p>
        </w:tc>
        <w:tc>
          <w:tcPr>
            <w:tcW w:w="7143" w:type="dxa"/>
            <w:gridSpan w:val="2"/>
          </w:tcPr>
          <w:p w14:paraId="2BE6C2A7" w14:textId="77777777" w:rsidR="00952F24" w:rsidRDefault="00952F24" w:rsidP="009846F0">
            <w:pPr>
              <w:pStyle w:val="TableBlock"/>
            </w:pPr>
            <w:r>
              <w:rPr>
                <w:rFonts w:hint="cs"/>
                <w:rtl/>
              </w:rPr>
              <w:t>(א)</w:t>
            </w:r>
            <w:r>
              <w:rPr>
                <w:rFonts w:hint="cs"/>
                <w:rtl/>
              </w:rPr>
              <w:tab/>
              <w:t xml:space="preserve">לא תיפתח חקירה פלילית נגד שופט בית המשפט לחוקה אלא בהסכמת היועץ המשפטי לממשלה, ולא יוגש כתב אישום נגד שופט בית משפט לחוקה אלא בידי היועץ המשפטי לממשלה. </w:t>
            </w:r>
          </w:p>
        </w:tc>
      </w:tr>
      <w:tr w:rsidR="00952F24" w14:paraId="60458F8D" w14:textId="77777777" w:rsidTr="009846F0">
        <w:trPr>
          <w:cantSplit/>
        </w:trPr>
        <w:tc>
          <w:tcPr>
            <w:tcW w:w="1870" w:type="dxa"/>
          </w:tcPr>
          <w:p w14:paraId="26271177" w14:textId="77777777" w:rsidR="00952F24" w:rsidRDefault="00952F24" w:rsidP="009846F0">
            <w:pPr>
              <w:pStyle w:val="TableSideHeading"/>
            </w:pPr>
          </w:p>
        </w:tc>
        <w:tc>
          <w:tcPr>
            <w:tcW w:w="624" w:type="dxa"/>
          </w:tcPr>
          <w:p w14:paraId="43D5DBB2" w14:textId="77777777" w:rsidR="00952F24" w:rsidRDefault="00952F24" w:rsidP="009846F0">
            <w:pPr>
              <w:pStyle w:val="TableText"/>
            </w:pPr>
          </w:p>
        </w:tc>
        <w:tc>
          <w:tcPr>
            <w:tcW w:w="7143" w:type="dxa"/>
            <w:gridSpan w:val="2"/>
          </w:tcPr>
          <w:p w14:paraId="7E5A10DB" w14:textId="77777777" w:rsidR="00952F24" w:rsidRDefault="00952F24" w:rsidP="009846F0">
            <w:pPr>
              <w:pStyle w:val="TableBlock"/>
            </w:pPr>
            <w:r>
              <w:rPr>
                <w:rFonts w:hint="cs"/>
                <w:rtl/>
              </w:rPr>
              <w:t>(ב)</w:t>
            </w:r>
            <w:r>
              <w:rPr>
                <w:rFonts w:hint="cs"/>
                <w:rtl/>
              </w:rPr>
              <w:tab/>
              <w:t>לא יידון אישום פלילי נגד שופט בית משפט לחוקה אלא לפני בית משפט מחוזי בהרכב של שלושה שופטים, זולת אם הסכים השופט שהאישום יידון בדרך הרגילה.</w:t>
            </w:r>
          </w:p>
        </w:tc>
      </w:tr>
      <w:tr w:rsidR="00952F24" w14:paraId="5476653B" w14:textId="77777777" w:rsidTr="009846F0">
        <w:trPr>
          <w:cantSplit/>
        </w:trPr>
        <w:tc>
          <w:tcPr>
            <w:tcW w:w="1870" w:type="dxa"/>
          </w:tcPr>
          <w:p w14:paraId="67A106F0" w14:textId="77777777" w:rsidR="00952F24" w:rsidRDefault="00952F24" w:rsidP="009846F0">
            <w:pPr>
              <w:pStyle w:val="TableSideHeading"/>
            </w:pPr>
            <w:r>
              <w:rPr>
                <w:rFonts w:hint="cs"/>
                <w:rtl/>
              </w:rPr>
              <w:lastRenderedPageBreak/>
              <w:t xml:space="preserve">הוראות </w:t>
            </w:r>
          </w:p>
        </w:tc>
        <w:tc>
          <w:tcPr>
            <w:tcW w:w="624" w:type="dxa"/>
          </w:tcPr>
          <w:p w14:paraId="2794028D" w14:textId="77777777" w:rsidR="00952F24" w:rsidRDefault="00952F24" w:rsidP="009846F0">
            <w:pPr>
              <w:pStyle w:val="TableText"/>
            </w:pPr>
            <w:r>
              <w:rPr>
                <w:rFonts w:hint="cs"/>
                <w:rtl/>
              </w:rPr>
              <w:t>10.</w:t>
            </w:r>
          </w:p>
        </w:tc>
        <w:tc>
          <w:tcPr>
            <w:tcW w:w="7143" w:type="dxa"/>
            <w:gridSpan w:val="2"/>
          </w:tcPr>
          <w:p w14:paraId="74329B22" w14:textId="77777777" w:rsidR="00952F24" w:rsidRDefault="00952F24" w:rsidP="009846F0">
            <w:pPr>
              <w:pStyle w:val="TableBlock"/>
            </w:pPr>
            <w:r>
              <w:rPr>
                <w:rFonts w:hint="cs"/>
                <w:rtl/>
              </w:rPr>
              <w:t>סדרי מינהל של בית המשפט לחוקה, קביעתם, האחריות לביצועם ודרך מינויו של רשם ייקבעו בחוק.</w:t>
            </w:r>
          </w:p>
        </w:tc>
      </w:tr>
      <w:tr w:rsidR="00952F24" w14:paraId="73EEE730" w14:textId="77777777" w:rsidTr="009846F0">
        <w:trPr>
          <w:cantSplit/>
        </w:trPr>
        <w:tc>
          <w:tcPr>
            <w:tcW w:w="1870" w:type="dxa"/>
          </w:tcPr>
          <w:p w14:paraId="5D166844" w14:textId="77777777" w:rsidR="00952F24" w:rsidRDefault="00952F24" w:rsidP="009846F0">
            <w:pPr>
              <w:pStyle w:val="TableSideHeading"/>
            </w:pPr>
            <w:r>
              <w:rPr>
                <w:rFonts w:hint="cs"/>
                <w:rtl/>
              </w:rPr>
              <w:t xml:space="preserve">יציבות </w:t>
            </w:r>
          </w:p>
        </w:tc>
        <w:tc>
          <w:tcPr>
            <w:tcW w:w="624" w:type="dxa"/>
          </w:tcPr>
          <w:p w14:paraId="3FAADEC1" w14:textId="77777777" w:rsidR="00952F24" w:rsidRDefault="00952F24" w:rsidP="009846F0">
            <w:pPr>
              <w:pStyle w:val="TableText"/>
            </w:pPr>
            <w:r>
              <w:rPr>
                <w:rFonts w:hint="cs"/>
                <w:rtl/>
              </w:rPr>
              <w:t>11.</w:t>
            </w:r>
          </w:p>
        </w:tc>
        <w:tc>
          <w:tcPr>
            <w:tcW w:w="7143" w:type="dxa"/>
            <w:gridSpan w:val="2"/>
          </w:tcPr>
          <w:p w14:paraId="19307B17" w14:textId="77777777" w:rsidR="00952F24" w:rsidRDefault="00952F24" w:rsidP="009846F0">
            <w:pPr>
              <w:pStyle w:val="TableBlock"/>
            </w:pPr>
            <w:r>
              <w:rPr>
                <w:rFonts w:hint="cs"/>
                <w:rtl/>
              </w:rPr>
              <w:t>(א)</w:t>
            </w:r>
            <w:r>
              <w:rPr>
                <w:rFonts w:hint="cs"/>
                <w:rtl/>
              </w:rPr>
              <w:tab/>
              <w:t xml:space="preserve">אין בכוחן של תקנות שעת חירום לשנות חוק זה, להפקיע זמנית את תוקפו או לקבוע בו תנאים. </w:t>
            </w:r>
          </w:p>
        </w:tc>
      </w:tr>
      <w:tr w:rsidR="00952F24" w14:paraId="21464AE4" w14:textId="77777777" w:rsidTr="009846F0">
        <w:trPr>
          <w:cantSplit/>
        </w:trPr>
        <w:tc>
          <w:tcPr>
            <w:tcW w:w="1870" w:type="dxa"/>
          </w:tcPr>
          <w:p w14:paraId="2F28015E" w14:textId="77777777" w:rsidR="00952F24" w:rsidRDefault="00952F24" w:rsidP="009846F0">
            <w:pPr>
              <w:pStyle w:val="TableSideHeading"/>
              <w:rPr>
                <w:rtl/>
              </w:rPr>
            </w:pPr>
          </w:p>
        </w:tc>
        <w:tc>
          <w:tcPr>
            <w:tcW w:w="624" w:type="dxa"/>
          </w:tcPr>
          <w:p w14:paraId="2CC94067" w14:textId="77777777" w:rsidR="00952F24" w:rsidRDefault="00952F24" w:rsidP="009846F0">
            <w:pPr>
              <w:pStyle w:val="TableText"/>
              <w:rPr>
                <w:rtl/>
              </w:rPr>
            </w:pPr>
          </w:p>
        </w:tc>
        <w:tc>
          <w:tcPr>
            <w:tcW w:w="7143" w:type="dxa"/>
            <w:gridSpan w:val="2"/>
          </w:tcPr>
          <w:p w14:paraId="3FB86D4F" w14:textId="77777777" w:rsidR="00952F24" w:rsidRDefault="00952F24" w:rsidP="009846F0">
            <w:pPr>
              <w:pStyle w:val="TableBlock"/>
            </w:pPr>
            <w:r>
              <w:rPr>
                <w:rFonts w:hint="cs"/>
                <w:rtl/>
              </w:rPr>
              <w:t>(ב)</w:t>
            </w:r>
            <w:r>
              <w:rPr>
                <w:rFonts w:hint="cs"/>
                <w:rtl/>
              </w:rPr>
              <w:tab/>
              <w:t xml:space="preserve">לא ניתן יהיה לשנות כל הוראה בחוק זה אלא ברוב של חברי הכנסת. </w:t>
            </w:r>
          </w:p>
        </w:tc>
      </w:tr>
    </w:tbl>
    <w:p w14:paraId="7F6961AE" w14:textId="77777777" w:rsidR="00E13C27" w:rsidRDefault="00E13C27" w:rsidP="00030371">
      <w:pPr>
        <w:pStyle w:val="HeadDivreiHesber"/>
        <w:spacing w:before="0" w:after="0"/>
        <w:jc w:val="both"/>
        <w:rPr>
          <w:rtl/>
        </w:rPr>
      </w:pPr>
    </w:p>
    <w:p w14:paraId="7F6961CA" w14:textId="77777777" w:rsidR="002D1EE3" w:rsidRDefault="002D1EE3" w:rsidP="002D1EE3">
      <w:pPr>
        <w:pStyle w:val="HeadDivreiHesber"/>
        <w:rPr>
          <w:rtl/>
        </w:rPr>
      </w:pPr>
      <w:r w:rsidRPr="0027450A">
        <w:rPr>
          <w:rFonts w:hint="cs"/>
          <w:rtl/>
        </w:rPr>
        <w:t>דברי הסבר</w:t>
      </w:r>
    </w:p>
    <w:p w14:paraId="6182CDFE" w14:textId="12C3BF54" w:rsidR="00030371" w:rsidRPr="00A3080A" w:rsidRDefault="00030371" w:rsidP="00030371">
      <w:pPr>
        <w:pStyle w:val="Hesber"/>
        <w:rPr>
          <w:rtl/>
        </w:rPr>
      </w:pPr>
      <w:r w:rsidRPr="00A3080A">
        <w:rPr>
          <w:rFonts w:hint="cs"/>
          <w:rtl/>
        </w:rPr>
        <w:t>לאור המחלוקות הגוברות בציבור בישראל בקשר לבית המשפט העליון ופסיקתו בעניינים שונים ולאחר למעלה מ</w:t>
      </w:r>
      <w:r>
        <w:rPr>
          <w:rFonts w:hint="cs"/>
          <w:rtl/>
        </w:rPr>
        <w:t>-75</w:t>
      </w:r>
      <w:r w:rsidRPr="00A3080A">
        <w:rPr>
          <w:rFonts w:hint="cs"/>
          <w:rtl/>
        </w:rPr>
        <w:t xml:space="preserve"> שנות קיומה של מד</w:t>
      </w:r>
      <w:r>
        <w:rPr>
          <w:rFonts w:hint="cs"/>
          <w:rtl/>
        </w:rPr>
        <w:t>ינת ישראל כמדינתו של העם היהודי</w:t>
      </w:r>
      <w:r w:rsidRPr="00A3080A">
        <w:rPr>
          <w:rFonts w:hint="cs"/>
          <w:rtl/>
        </w:rPr>
        <w:t xml:space="preserve"> וכמדינה יהודית ודמוקרטית </w:t>
      </w:r>
      <w:r>
        <w:rPr>
          <w:rFonts w:hint="cs"/>
          <w:rtl/>
        </w:rPr>
        <w:t>ה</w:t>
      </w:r>
      <w:r w:rsidRPr="00A3080A">
        <w:rPr>
          <w:rFonts w:hint="cs"/>
          <w:rtl/>
        </w:rPr>
        <w:t>שוחרת שלום ואחווה בין העמים</w:t>
      </w:r>
      <w:r>
        <w:rPr>
          <w:rFonts w:hint="cs"/>
          <w:rtl/>
        </w:rPr>
        <w:t>,</w:t>
      </w:r>
      <w:r w:rsidRPr="00A3080A">
        <w:rPr>
          <w:rFonts w:hint="cs"/>
          <w:rtl/>
        </w:rPr>
        <w:t xml:space="preserve"> מוצע להקים את בית המשפט לחוקה. </w:t>
      </w:r>
    </w:p>
    <w:p w14:paraId="72256415" w14:textId="77777777" w:rsidR="00030371" w:rsidRPr="00A3080A" w:rsidRDefault="00030371" w:rsidP="00030371">
      <w:pPr>
        <w:pStyle w:val="Hesber"/>
        <w:rPr>
          <w:rtl/>
        </w:rPr>
      </w:pPr>
      <w:r w:rsidRPr="00A3080A">
        <w:rPr>
          <w:rFonts w:hint="cs"/>
          <w:rtl/>
        </w:rPr>
        <w:t xml:space="preserve">בית משפט זה יהיה אמון על פרשנות לעקרונותיה היסודיים של מדינת ישראל כביתו הלאומי של העם היהודי וכמדינה יהודית ודמוקרטית ולכן הרכבו ישקף מגוון דעות רחב ככל האפשר. </w:t>
      </w:r>
    </w:p>
    <w:p w14:paraId="1F7D7F87" w14:textId="77777777" w:rsidR="00030371" w:rsidRDefault="00030371" w:rsidP="00030371">
      <w:pPr>
        <w:pStyle w:val="Hesber"/>
        <w:rPr>
          <w:rtl/>
        </w:rPr>
      </w:pPr>
      <w:r w:rsidRPr="00A3080A">
        <w:rPr>
          <w:rFonts w:hint="cs"/>
          <w:rtl/>
        </w:rPr>
        <w:t>הצעת חוק דומה בעיקרה הונחה על שולחן הכנסת העשרים וארבע על יד</w:t>
      </w:r>
      <w:r>
        <w:rPr>
          <w:rFonts w:hint="cs"/>
          <w:rtl/>
        </w:rPr>
        <w:t>י חבר הכנסת שלמה קרעי (פ/72/24).</w:t>
      </w:r>
    </w:p>
    <w:p w14:paraId="6BAF7035" w14:textId="77777777" w:rsidR="00C51973" w:rsidRPr="00C51973" w:rsidRDefault="00C51973" w:rsidP="00C51973">
      <w:pPr>
        <w:pStyle w:val="Hesber"/>
        <w:spacing w:line="480" w:lineRule="auto"/>
        <w:rPr>
          <w:rtl/>
        </w:rPr>
      </w:pPr>
    </w:p>
    <w:p w14:paraId="7F6961CB" w14:textId="77777777" w:rsidR="00E13C27" w:rsidRDefault="00E13C27" w:rsidP="00C51973">
      <w:pPr>
        <w:pStyle w:val="Hesber"/>
        <w:spacing w:line="480" w:lineRule="auto"/>
        <w:rPr>
          <w:rtl/>
        </w:rPr>
      </w:pPr>
      <w:bookmarkStart w:id="8" w:name="_GoBack"/>
      <w:bookmarkEnd w:id="8"/>
    </w:p>
    <w:p w14:paraId="0CC72BBE" w14:textId="77777777" w:rsidR="00576902" w:rsidRDefault="00326A5B">
      <w:pPr>
        <w:spacing w:before="0" w:line="360" w:lineRule="auto"/>
        <w:jc w:val="left"/>
      </w:pPr>
      <w:bookmarkStart w:id="9" w:name="selectedDocDateB"/>
      <w:bookmarkEnd w:id="9"/>
      <w:r>
        <w:rPr>
          <w:rFonts w:ascii="David" w:eastAsia="David" w:hAnsi="David" w:cs="David" w:hint="cs"/>
          <w:sz w:val="26"/>
          <w:szCs w:val="26"/>
          <w:rtl/>
        </w:rPr>
        <w:t>--------------------------------</w:t>
      </w:r>
    </w:p>
    <w:p w14:paraId="4FE5DD42" w14:textId="77777777" w:rsidR="00576902" w:rsidRDefault="00326A5B">
      <w:pPr>
        <w:spacing w:before="0" w:line="360" w:lineRule="auto"/>
        <w:jc w:val="left"/>
      </w:pPr>
      <w:r>
        <w:rPr>
          <w:rFonts w:ascii="David" w:eastAsia="David" w:hAnsi="David" w:cs="David" w:hint="cs"/>
          <w:sz w:val="26"/>
          <w:szCs w:val="26"/>
          <w:rtl/>
        </w:rPr>
        <w:t>הוגשה ליו"ר הכנסת והסגנים</w:t>
      </w:r>
    </w:p>
    <w:p w14:paraId="40660086" w14:textId="77777777" w:rsidR="00576902" w:rsidRDefault="00326A5B">
      <w:pPr>
        <w:spacing w:before="0" w:line="360" w:lineRule="auto"/>
        <w:jc w:val="left"/>
      </w:pPr>
      <w:r>
        <w:rPr>
          <w:rFonts w:ascii="David" w:eastAsia="David" w:hAnsi="David" w:cs="David" w:hint="cs"/>
          <w:sz w:val="26"/>
          <w:szCs w:val="26"/>
          <w:rtl/>
        </w:rPr>
        <w:t>והונחה על שולחן הכנסת ביום</w:t>
      </w:r>
    </w:p>
    <w:p w14:paraId="242EDC77" w14:textId="77777777" w:rsidR="00576902" w:rsidRDefault="00326A5B">
      <w:pPr>
        <w:spacing w:before="0" w:line="360" w:lineRule="auto"/>
        <w:jc w:val="left"/>
      </w:pPr>
      <w:r>
        <w:rPr>
          <w:rFonts w:ascii="David" w:eastAsia="David" w:hAnsi="David" w:cs="David" w:hint="cs"/>
          <w:sz w:val="26"/>
          <w:szCs w:val="26"/>
          <w:rtl/>
        </w:rPr>
        <w:t xml:space="preserve">כ"ז באדר התשפ"ג (20.03.2023) </w:t>
      </w:r>
    </w:p>
    <w:p w14:paraId="43D9921D" w14:textId="77777777" w:rsidR="00576902" w:rsidRDefault="00576902">
      <w:pPr>
        <w:spacing w:before="0" w:line="276" w:lineRule="auto"/>
        <w:jc w:val="left"/>
      </w:pPr>
    </w:p>
    <w:sectPr w:rsidR="00576902"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0981B12C"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326A5B">
      <w:rPr>
        <w:rStyle w:val="aa"/>
        <w:noProof/>
        <w:rtl/>
      </w:rPr>
      <w:t>4</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0B3C27B" w14:textId="77777777" w:rsidR="00952F24" w:rsidRDefault="00952F24" w:rsidP="00952F24">
      <w:pPr>
        <w:pStyle w:val="a4"/>
      </w:pPr>
      <w:r>
        <w:rPr>
          <w:rStyle w:val="a5"/>
        </w:rPr>
        <w:footnoteRef/>
      </w:r>
      <w:r>
        <w:rPr>
          <w:rtl/>
        </w:rPr>
        <w:t xml:space="preserve"> </w:t>
      </w:r>
      <w:r>
        <w:rPr>
          <w:rFonts w:hint="cs"/>
          <w:rtl/>
        </w:rPr>
        <w:t xml:space="preserve">ס"ח התשי"ח, עמ' 191. </w:t>
      </w:r>
    </w:p>
  </w:footnote>
  <w:footnote w:id="3">
    <w:p w14:paraId="2B389E42" w14:textId="77777777" w:rsidR="00952F24" w:rsidRDefault="00952F24" w:rsidP="00952F24">
      <w:pPr>
        <w:pStyle w:val="a4"/>
        <w:rPr>
          <w:rtl/>
        </w:rPr>
      </w:pPr>
      <w:r>
        <w:rPr>
          <w:rStyle w:val="a5"/>
        </w:rPr>
        <w:footnoteRef/>
      </w:r>
      <w:r>
        <w:rPr>
          <w:rtl/>
        </w:rPr>
        <w:t xml:space="preserve"> </w:t>
      </w:r>
      <w:r>
        <w:rPr>
          <w:rFonts w:hint="cs"/>
          <w:rtl/>
        </w:rPr>
        <w:t>ס"ח התשמ"ד, עמ' 79.</w:t>
      </w:r>
    </w:p>
    <w:p w14:paraId="361C1EF2" w14:textId="77777777" w:rsidR="00952F24" w:rsidRDefault="00952F24" w:rsidP="00952F24">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0371"/>
    <w:rsid w:val="00054BEC"/>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26A5B"/>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76902"/>
    <w:rsid w:val="005B064E"/>
    <w:rsid w:val="005D51AE"/>
    <w:rsid w:val="0062674B"/>
    <w:rsid w:val="006363B2"/>
    <w:rsid w:val="00644940"/>
    <w:rsid w:val="006818A9"/>
    <w:rsid w:val="006A2D81"/>
    <w:rsid w:val="006C1D0D"/>
    <w:rsid w:val="0070601E"/>
    <w:rsid w:val="00712C72"/>
    <w:rsid w:val="00735FE9"/>
    <w:rsid w:val="00763CAA"/>
    <w:rsid w:val="00765F66"/>
    <w:rsid w:val="007743EA"/>
    <w:rsid w:val="0078664F"/>
    <w:rsid w:val="007A27CE"/>
    <w:rsid w:val="007A7D0B"/>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2F24"/>
    <w:rsid w:val="00957589"/>
    <w:rsid w:val="00966D06"/>
    <w:rsid w:val="00982412"/>
    <w:rsid w:val="00983A8D"/>
    <w:rsid w:val="00997DAA"/>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51973"/>
    <w:rsid w:val="00C9176A"/>
    <w:rsid w:val="00CF1AA2"/>
    <w:rsid w:val="00D142D3"/>
    <w:rsid w:val="00D17774"/>
    <w:rsid w:val="00D63620"/>
    <w:rsid w:val="00D8410D"/>
    <w:rsid w:val="00D867D7"/>
    <w:rsid w:val="00DB7060"/>
    <w:rsid w:val="00DE3153"/>
    <w:rsid w:val="00E059E4"/>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B060493-A518-4583-82FB-81A45812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290d5b49-c690-4c6f-bbb9-1e50dab33ee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3B965C09-0B1F-4DB8-BADE-0331FA870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9925C-3695-4DEE-B7FD-EF3FE8368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832</Words>
  <Characters>4163</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11</cp:revision>
  <cp:lastPrinted>2013-07-04T08:25:00Z</cp:lastPrinted>
  <dcterms:created xsi:type="dcterms:W3CDTF">2015-04-20T09:58:00Z</dcterms:created>
  <dcterms:modified xsi:type="dcterms:W3CDTF">2023-03-16T06:15:00Z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2201485</vt:r8>
  </property>
</Properties>
</file>